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047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left"/>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附件3</w:t>
      </w:r>
    </w:p>
    <w:p w14:paraId="7CA77CEB">
      <w:pPr>
        <w:pStyle w:val="6"/>
        <w:rPr>
          <w:rFonts w:hint="eastAsia"/>
          <w:lang w:val="en-US" w:eastAsia="zh-CN"/>
        </w:rPr>
      </w:pPr>
    </w:p>
    <w:p w14:paraId="36767BF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方正小标宋简体" w:eastAsia="方正小标宋简体" w:cs="方正小标宋简体"/>
          <w:b w:val="0"/>
          <w:bCs w:val="0"/>
          <w:spacing w:val="-6"/>
          <w:kern w:val="2"/>
          <w:sz w:val="44"/>
          <w:szCs w:val="44"/>
          <w:u w:val="none"/>
        </w:rPr>
      </w:pPr>
      <w:r>
        <w:rPr>
          <w:rFonts w:hint="eastAsia" w:ascii="方正小标宋简体" w:hAnsi="方正小标宋简体" w:eastAsia="方正小标宋简体" w:cs="方正小标宋简体"/>
          <w:b w:val="0"/>
          <w:bCs w:val="0"/>
          <w:spacing w:val="-6"/>
          <w:kern w:val="2"/>
          <w:sz w:val="44"/>
          <w:szCs w:val="44"/>
          <w:u w:val="none"/>
          <w:lang w:eastAsia="zh-CN"/>
        </w:rPr>
        <w:t>许昌陶瓷职业学院</w:t>
      </w:r>
      <w:r>
        <w:rPr>
          <w:rFonts w:ascii="方正小标宋简体" w:hAnsi="方正小标宋简体" w:eastAsia="方正小标宋简体" w:cs="方正小标宋简体"/>
          <w:b w:val="0"/>
          <w:bCs w:val="0"/>
          <w:spacing w:val="-6"/>
          <w:kern w:val="2"/>
          <w:sz w:val="44"/>
          <w:szCs w:val="44"/>
          <w:u w:val="none"/>
        </w:rPr>
        <w:t>防汛应急处置工作预案</w:t>
      </w:r>
    </w:p>
    <w:p w14:paraId="1A94EF2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方正小标宋简体" w:eastAsia="方正小标宋简体" w:cs="方正小标宋简体"/>
          <w:b w:val="0"/>
          <w:bCs w:val="0"/>
          <w:spacing w:val="-6"/>
          <w:kern w:val="2"/>
          <w:sz w:val="44"/>
          <w:szCs w:val="44"/>
          <w:u w:val="none"/>
        </w:rPr>
      </w:pPr>
    </w:p>
    <w:p w14:paraId="1C146F2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pPr>
      <w:r>
        <w:rPr>
          <w:rFonts w:ascii="黑体" w:hAnsi="宋体" w:eastAsia="黑体" w:cs="黑体"/>
          <w:b w:val="0"/>
          <w:bCs/>
          <w:kern w:val="2"/>
          <w:sz w:val="32"/>
          <w:szCs w:val="32"/>
          <w:u w:val="none"/>
        </w:rPr>
        <w:t>第一章</w:t>
      </w:r>
      <w:r>
        <w:rPr>
          <w:rFonts w:hint="eastAsia" w:ascii="黑体" w:hAnsi="宋体" w:eastAsia="黑体" w:cs="黑体"/>
          <w:b w:val="0"/>
          <w:bCs/>
          <w:kern w:val="2"/>
          <w:sz w:val="32"/>
          <w:szCs w:val="32"/>
          <w:u w:val="none"/>
        </w:rPr>
        <w:t xml:space="preserve">  总则</w:t>
      </w:r>
    </w:p>
    <w:p w14:paraId="60DB306E">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rPr>
        <w:t>第一条</w:t>
      </w:r>
      <w:r>
        <w:rPr>
          <w:rStyle w:val="5"/>
          <w:rFonts w:hint="eastAsia" w:ascii="楷体_GB2312" w:hAnsi="楷体_GB2312" w:eastAsia="楷体_GB2312" w:cs="楷体_GB2312"/>
          <w:b/>
          <w:bCs w:val="0"/>
          <w:color w:val="000000"/>
          <w:kern w:val="0"/>
          <w:sz w:val="32"/>
          <w:szCs w:val="32"/>
          <w:u w:val="none"/>
          <w:shd w:val="clear" w:fill="FFFFFF"/>
          <w:lang w:val="en-US" w:eastAsia="zh-CN"/>
        </w:rPr>
        <w:t xml:space="preserve"> </w:t>
      </w:r>
      <w:r>
        <w:rPr>
          <w:rFonts w:hint="eastAsia" w:ascii="仿宋_GB2312" w:hAnsi="仿宋" w:eastAsia="仿宋_GB2312" w:cs="仿宋_GB2312"/>
          <w:b w:val="0"/>
          <w:bCs w:val="0"/>
          <w:color w:val="000000"/>
          <w:kern w:val="0"/>
          <w:sz w:val="32"/>
          <w:szCs w:val="32"/>
          <w:u w:val="none"/>
          <w:shd w:val="clear" w:fill="FFFFFF"/>
        </w:rPr>
        <w:t>为全面提高学校应对突发性洪涝灾害等汛情事件的能力和水平，提升快速反应和应急处置能力，保障防汛工作有序、高效进行，有效防止和减轻洪涝灾害, 确保广大师生的生命和财产安全，保障教育教学生活秩序，促进教育事业健康和谐发展，特制定本预案。</w:t>
      </w:r>
    </w:p>
    <w:p w14:paraId="1590D731">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hint="eastAsia" w:ascii="仿宋_GB2312" w:hAnsi="仿宋" w:eastAsia="仿宋_GB2312" w:cs="仿宋_GB2312"/>
          <w:b w:val="0"/>
          <w:bCs w:val="0"/>
          <w:color w:val="000000"/>
          <w:kern w:val="0"/>
          <w:sz w:val="32"/>
          <w:szCs w:val="32"/>
          <w:u w:val="none"/>
          <w:shd w:val="clear" w:fill="FFFFFF"/>
        </w:rPr>
      </w:pPr>
      <w:r>
        <w:rPr>
          <w:rStyle w:val="5"/>
          <w:rFonts w:hint="eastAsia" w:ascii="楷体_GB2312" w:hAnsi="楷体_GB2312" w:eastAsia="楷体_GB2312" w:cs="楷体_GB2312"/>
          <w:b/>
          <w:bCs w:val="0"/>
          <w:color w:val="000000"/>
          <w:kern w:val="0"/>
          <w:sz w:val="32"/>
          <w:szCs w:val="32"/>
          <w:u w:val="none"/>
          <w:shd w:val="clear" w:fill="FFFFFF"/>
        </w:rPr>
        <w:t xml:space="preserve">第二条 </w:t>
      </w:r>
      <w:r>
        <w:rPr>
          <w:rFonts w:hint="eastAsia" w:ascii="仿宋_GB2312" w:hAnsi="仿宋" w:eastAsia="仿宋_GB2312" w:cs="仿宋_GB2312"/>
          <w:b w:val="0"/>
          <w:bCs w:val="0"/>
          <w:color w:val="000000"/>
          <w:kern w:val="0"/>
          <w:sz w:val="32"/>
          <w:szCs w:val="32"/>
          <w:u w:val="none"/>
          <w:shd w:val="clear" w:fill="FFFFFF"/>
        </w:rPr>
        <w:t>本预案适用于我校及所属各二级学院、单位，应对各类洪涝灾害的防范和应急处置。</w:t>
      </w:r>
    </w:p>
    <w:p w14:paraId="7E12C9F6">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 w:eastAsia="仿宋_GB2312" w:cs="仿宋_GB2312"/>
          <w:b w:val="0"/>
          <w:bCs w:val="0"/>
          <w:color w:val="000000"/>
          <w:kern w:val="0"/>
          <w:sz w:val="32"/>
          <w:szCs w:val="32"/>
          <w:u w:val="none"/>
          <w:shd w:val="clear" w:fill="FFFFFF"/>
        </w:rPr>
      </w:pPr>
    </w:p>
    <w:p w14:paraId="2D8CA37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pPr>
      <w:r>
        <w:rPr>
          <w:rFonts w:hint="eastAsia" w:ascii="黑体" w:hAnsi="宋体" w:eastAsia="黑体" w:cs="黑体"/>
          <w:b w:val="0"/>
          <w:bCs/>
          <w:kern w:val="2"/>
          <w:sz w:val="32"/>
          <w:szCs w:val="32"/>
          <w:u w:val="none"/>
        </w:rPr>
        <w:t>第二章</w:t>
      </w:r>
      <w:r>
        <w:rPr>
          <w:rFonts w:hint="eastAsia" w:ascii="黑体" w:hAnsi="宋体" w:eastAsia="黑体" w:cs="仿宋_GB2312"/>
          <w:b w:val="0"/>
          <w:bCs/>
          <w:kern w:val="2"/>
          <w:sz w:val="32"/>
          <w:szCs w:val="32"/>
          <w:u w:val="none"/>
        </w:rPr>
        <w:t xml:space="preserve">  </w:t>
      </w:r>
      <w:r>
        <w:rPr>
          <w:rFonts w:hint="eastAsia" w:ascii="黑体" w:hAnsi="宋体" w:eastAsia="黑体" w:cs="黑体"/>
          <w:b w:val="0"/>
          <w:bCs/>
          <w:kern w:val="2"/>
          <w:sz w:val="32"/>
          <w:szCs w:val="32"/>
          <w:u w:val="none"/>
        </w:rPr>
        <w:t>工作原则</w:t>
      </w:r>
    </w:p>
    <w:p w14:paraId="78761E01">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rPr>
        <w:t>第三条</w:t>
      </w:r>
      <w:r>
        <w:rPr>
          <w:rStyle w:val="5"/>
          <w:rFonts w:hint="eastAsia" w:ascii="楷体_GB2312" w:hAnsi="楷体_GB2312" w:eastAsia="楷体_GB2312" w:cs="楷体_GB2312"/>
          <w:b/>
          <w:bCs w:val="0"/>
          <w:color w:val="000000"/>
          <w:kern w:val="0"/>
          <w:sz w:val="32"/>
          <w:szCs w:val="32"/>
          <w:u w:val="none"/>
          <w:shd w:val="clear" w:fill="FFFFFF"/>
          <w:lang w:val="en-US" w:eastAsia="zh-CN"/>
        </w:rPr>
        <w:t xml:space="preserve"> </w:t>
      </w:r>
      <w:r>
        <w:rPr>
          <w:rFonts w:hint="eastAsia" w:ascii="仿宋_GB2312" w:hAnsi="仿宋" w:eastAsia="仿宋_GB2312" w:cs="仿宋_GB2312"/>
          <w:b w:val="0"/>
          <w:bCs w:val="0"/>
          <w:color w:val="000000"/>
          <w:kern w:val="0"/>
          <w:sz w:val="32"/>
          <w:szCs w:val="32"/>
          <w:u w:val="none"/>
          <w:shd w:val="clear" w:fill="FFFFFF"/>
        </w:rPr>
        <w:t>学校党政主要负责人是应对防汛安全的第一责任人，党政齐抓共管，切实履行“一岗双责”。各</w:t>
      </w:r>
      <w:r>
        <w:rPr>
          <w:rFonts w:hint="eastAsia" w:ascii="仿宋_GB2312" w:hAnsi="仿宋" w:eastAsia="仿宋_GB2312" w:cs="仿宋_GB2312"/>
          <w:b w:val="0"/>
          <w:bCs w:val="0"/>
          <w:color w:val="000000"/>
          <w:kern w:val="0"/>
          <w:sz w:val="32"/>
          <w:szCs w:val="32"/>
          <w:u w:val="none"/>
          <w:shd w:val="clear" w:fill="FFFFFF"/>
          <w:lang w:val="en-US" w:eastAsia="zh-CN"/>
        </w:rPr>
        <w:t>单位</w:t>
      </w:r>
      <w:r>
        <w:rPr>
          <w:rFonts w:hint="eastAsia" w:ascii="仿宋_GB2312" w:hAnsi="仿宋" w:eastAsia="仿宋_GB2312" w:cs="仿宋_GB2312"/>
          <w:b w:val="0"/>
          <w:bCs w:val="0"/>
          <w:color w:val="000000"/>
          <w:kern w:val="0"/>
          <w:sz w:val="32"/>
          <w:szCs w:val="32"/>
          <w:u w:val="none"/>
          <w:shd w:val="clear" w:fill="FFFFFF"/>
        </w:rPr>
        <w:t>和二级学院严格落实领导责任制，层层落实责任，尽可能地降低或消除因防汛安全造成的影响，最大程度地保障学校和广大师生的生命和财产安全。</w:t>
      </w:r>
    </w:p>
    <w:p w14:paraId="31A7D65A">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rPr>
        <w:t>第四条</w:t>
      </w:r>
      <w:r>
        <w:rPr>
          <w:rStyle w:val="5"/>
          <w:rFonts w:hint="eastAsia" w:ascii="楷体_GB2312" w:hAnsi="楷体_GB2312" w:eastAsia="楷体_GB2312" w:cs="楷体_GB2312"/>
          <w:b/>
          <w:bCs w:val="0"/>
          <w:color w:val="000000"/>
          <w:kern w:val="0"/>
          <w:sz w:val="32"/>
          <w:szCs w:val="32"/>
          <w:u w:val="none"/>
          <w:shd w:val="clear" w:fill="FFFFFF"/>
          <w:lang w:val="en-US" w:eastAsia="zh-CN"/>
        </w:rPr>
        <w:t xml:space="preserve"> </w:t>
      </w:r>
      <w:r>
        <w:rPr>
          <w:rFonts w:hint="eastAsia" w:ascii="仿宋_GB2312" w:hAnsi="仿宋" w:eastAsia="仿宋_GB2312" w:cs="仿宋_GB2312"/>
          <w:b w:val="0"/>
          <w:bCs w:val="0"/>
          <w:color w:val="000000"/>
          <w:kern w:val="0"/>
          <w:sz w:val="32"/>
          <w:szCs w:val="32"/>
          <w:u w:val="none"/>
          <w:shd w:val="clear" w:fill="FFFFFF"/>
        </w:rPr>
        <w:t>为切实做好我校防汛应急处置工作，成立防汛应急处置工作指挥部，负责人由主管后勤</w:t>
      </w:r>
      <w:r>
        <w:rPr>
          <w:rFonts w:hint="eastAsia" w:ascii="仿宋_GB2312" w:hAnsi="仿宋" w:eastAsia="仿宋_GB2312" w:cs="仿宋_GB2312"/>
          <w:b w:val="0"/>
          <w:bCs w:val="0"/>
          <w:color w:val="000000"/>
          <w:kern w:val="0"/>
          <w:sz w:val="32"/>
          <w:szCs w:val="32"/>
          <w:u w:val="none"/>
          <w:shd w:val="clear" w:fill="FFFFFF"/>
          <w:lang w:eastAsia="zh-CN"/>
        </w:rPr>
        <w:t>保卫</w:t>
      </w:r>
      <w:r>
        <w:rPr>
          <w:rFonts w:hint="eastAsia" w:ascii="仿宋_GB2312" w:hAnsi="仿宋" w:eastAsia="仿宋_GB2312" w:cs="仿宋_GB2312"/>
          <w:b w:val="0"/>
          <w:bCs w:val="0"/>
          <w:color w:val="000000"/>
          <w:kern w:val="0"/>
          <w:sz w:val="32"/>
          <w:szCs w:val="32"/>
          <w:u w:val="none"/>
          <w:shd w:val="clear" w:fill="FFFFFF"/>
        </w:rPr>
        <w:t>工作的副校长担任，防汛应急工作启动后，由党办、宣传部、组织部、校办、人事处、</w:t>
      </w:r>
      <w:r>
        <w:rPr>
          <w:rFonts w:hint="eastAsia" w:ascii="仿宋_GB2312" w:hAnsi="仿宋" w:eastAsia="仿宋_GB2312" w:cs="仿宋_GB2312"/>
          <w:b w:val="0"/>
          <w:bCs w:val="0"/>
          <w:color w:val="000000"/>
          <w:kern w:val="0"/>
          <w:sz w:val="32"/>
          <w:szCs w:val="32"/>
          <w:u w:val="none"/>
          <w:shd w:val="clear" w:fill="FFFFFF"/>
          <w:lang w:val="en-US" w:eastAsia="zh-CN"/>
        </w:rPr>
        <w:t>总务处、</w:t>
      </w:r>
      <w:r>
        <w:rPr>
          <w:rFonts w:hint="eastAsia" w:ascii="仿宋_GB2312" w:hAnsi="仿宋" w:eastAsia="仿宋_GB2312" w:cs="仿宋_GB2312"/>
          <w:b w:val="0"/>
          <w:bCs w:val="0"/>
          <w:color w:val="000000"/>
          <w:kern w:val="0"/>
          <w:sz w:val="32"/>
          <w:szCs w:val="32"/>
          <w:u w:val="none"/>
          <w:shd w:val="clear" w:fill="FFFFFF"/>
        </w:rPr>
        <w:t>保卫处等相关部门和各二级学院负责人共同协调处置。指挥部设在</w:t>
      </w:r>
      <w:r>
        <w:rPr>
          <w:rFonts w:hint="eastAsia" w:ascii="仿宋_GB2312" w:hAnsi="仿宋" w:eastAsia="仿宋_GB2312" w:cs="仿宋_GB2312"/>
          <w:b w:val="0"/>
          <w:bCs w:val="0"/>
          <w:color w:val="000000"/>
          <w:kern w:val="0"/>
          <w:sz w:val="32"/>
          <w:szCs w:val="32"/>
          <w:u w:val="none"/>
          <w:shd w:val="clear" w:fill="FFFFFF"/>
          <w:lang w:val="en-US" w:eastAsia="zh-CN"/>
        </w:rPr>
        <w:t>总务处</w:t>
      </w:r>
      <w:r>
        <w:rPr>
          <w:rFonts w:hint="eastAsia" w:ascii="仿宋_GB2312" w:hAnsi="仿宋" w:eastAsia="仿宋_GB2312" w:cs="仿宋_GB2312"/>
          <w:b w:val="0"/>
          <w:bCs w:val="0"/>
          <w:color w:val="000000"/>
          <w:kern w:val="0"/>
          <w:sz w:val="32"/>
          <w:szCs w:val="32"/>
          <w:u w:val="none"/>
          <w:shd w:val="clear" w:fill="FFFFFF"/>
        </w:rPr>
        <w:t>。</w:t>
      </w:r>
    </w:p>
    <w:p w14:paraId="3EED7684">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rPr>
        <w:t xml:space="preserve">第五条 </w:t>
      </w:r>
      <w:r>
        <w:rPr>
          <w:rFonts w:hint="eastAsia" w:ascii="仿宋_GB2312" w:hAnsi="仿宋" w:eastAsia="仿宋_GB2312" w:cs="仿宋_GB2312"/>
          <w:b w:val="0"/>
          <w:bCs w:val="0"/>
          <w:color w:val="000000"/>
          <w:kern w:val="0"/>
          <w:sz w:val="32"/>
          <w:szCs w:val="32"/>
          <w:u w:val="none"/>
          <w:shd w:val="clear" w:fill="FFFFFF"/>
        </w:rPr>
        <w:t>建立健全学校与二级学院、单位联动协调机制，防汛应急处置启动后，领导小组成员、各相关部门、二级学院负责人要立即深入第一线，掌握情况，开展工作，控制局面。形成各部门、学院系统联动、群防群控、全方位防汛应急处置的工作局面，确保预防、预警、发现、报告、指挥、处置等环节紧密衔接和正确应对。</w:t>
      </w:r>
    </w:p>
    <w:p w14:paraId="2D0E0370">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rPr>
        <w:t xml:space="preserve">第六条 </w:t>
      </w:r>
      <w:r>
        <w:rPr>
          <w:rFonts w:hint="eastAsia" w:ascii="仿宋_GB2312" w:hAnsi="仿宋" w:eastAsia="仿宋_GB2312" w:cs="仿宋_GB2312"/>
          <w:b w:val="0"/>
          <w:bCs w:val="0"/>
          <w:color w:val="000000"/>
          <w:kern w:val="0"/>
          <w:sz w:val="32"/>
          <w:szCs w:val="32"/>
          <w:u w:val="none"/>
          <w:shd w:val="clear" w:fill="FFFFFF"/>
        </w:rPr>
        <w:t>要坚持人民至上、生命至上。牢固树立以师生员工为中心的思想，把保障师生员工健康和生命财产安全作为首要任务，最大程度的减少洪涝灾害造成的危害和损失。</w:t>
      </w:r>
    </w:p>
    <w:p w14:paraId="4D8458CF">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要坚持党政同责、属地为主。在各级政府应急指挥机构统筹和具体指导下，坚持“党政同责，属地管理”和“谁主管、谁负责”、“谁主办、谁负责”、“以校为主”的原则开展防汛工作。</w:t>
      </w:r>
    </w:p>
    <w:p w14:paraId="72927E37">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要坚持居安思危、预防为主。贯彻落实“以防为主”的防汛理念，提高广大师生防范意识，切实做好应对突发性洪涝灾害等汛情事件的思想准备、组织准备、预案准备、物资准备等，对各类可能引发洪涝灾害的因素及时分析、预警，做到早介入、早行动、早预防。</w:t>
      </w:r>
    </w:p>
    <w:p w14:paraId="4F294135">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hint="eastAsia" w:ascii="仿宋_GB2312" w:hAnsi="仿宋" w:eastAsia="仿宋_GB2312" w:cs="仿宋_GB2312"/>
          <w:b w:val="0"/>
          <w:bCs w:val="0"/>
          <w:color w:val="000000"/>
          <w:kern w:val="0"/>
          <w:sz w:val="32"/>
          <w:szCs w:val="32"/>
          <w:u w:val="none"/>
          <w:shd w:val="clear" w:fill="FFFFFF"/>
        </w:rPr>
      </w:pPr>
      <w:r>
        <w:rPr>
          <w:rStyle w:val="5"/>
          <w:rFonts w:hint="eastAsia" w:ascii="楷体_GB2312" w:hAnsi="楷体_GB2312" w:eastAsia="楷体_GB2312" w:cs="楷体_GB2312"/>
          <w:b/>
          <w:bCs w:val="0"/>
          <w:color w:val="000000"/>
          <w:kern w:val="0"/>
          <w:sz w:val="32"/>
          <w:szCs w:val="32"/>
          <w:u w:val="none"/>
          <w:shd w:val="clear" w:fill="FFFFFF"/>
        </w:rPr>
        <w:t xml:space="preserve">第七条 </w:t>
      </w:r>
      <w:r>
        <w:rPr>
          <w:rFonts w:hint="eastAsia" w:ascii="仿宋_GB2312" w:hAnsi="仿宋" w:eastAsia="仿宋_GB2312" w:cs="仿宋_GB2312"/>
          <w:b w:val="0"/>
          <w:bCs w:val="0"/>
          <w:color w:val="000000"/>
          <w:kern w:val="0"/>
          <w:sz w:val="32"/>
          <w:szCs w:val="32"/>
          <w:u w:val="none"/>
          <w:shd w:val="clear" w:fill="FFFFFF"/>
        </w:rPr>
        <w:t>宣传部门要掌握舆论引导主动权，增强工作的预见性和主动性，加强与新闻媒体的联系和沟通，按照职责权限及时、准确、客观发布防汛事态发展及处置工作情况等权威信息，正确引导社会舆论。</w:t>
      </w:r>
    </w:p>
    <w:p w14:paraId="25185A1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center"/>
        <w:textAlignment w:val="auto"/>
      </w:pPr>
      <w:r>
        <w:rPr>
          <w:rFonts w:hint="eastAsia" w:ascii="黑体" w:hAnsi="宋体" w:eastAsia="黑体" w:cs="黑体"/>
          <w:b w:val="0"/>
          <w:bCs w:val="0"/>
          <w:color w:val="000000"/>
          <w:kern w:val="0"/>
          <w:sz w:val="32"/>
          <w:szCs w:val="32"/>
          <w:u w:val="none"/>
          <w:shd w:val="clear" w:fill="FFFFFF"/>
        </w:rPr>
        <w:t>第三章  应急预案体系</w:t>
      </w:r>
    </w:p>
    <w:p w14:paraId="21FF49D2">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rPr>
        <w:t xml:space="preserve">第八条 </w:t>
      </w:r>
      <w:r>
        <w:rPr>
          <w:rFonts w:hint="eastAsia" w:ascii="仿宋_GB2312" w:hAnsi="仿宋" w:eastAsia="仿宋_GB2312" w:cs="仿宋_GB2312"/>
          <w:b w:val="0"/>
          <w:bCs w:val="0"/>
          <w:color w:val="000000"/>
          <w:kern w:val="0"/>
          <w:sz w:val="32"/>
          <w:szCs w:val="32"/>
          <w:u w:val="none"/>
          <w:shd w:val="clear" w:fill="FFFFFF"/>
        </w:rPr>
        <w:t>学校总体应急预案根据《教育部教育系统突发公共事件总体应急预案》《河南省突发公共事件总体应急预案》《河南省教育系统处置突发公共事件应急预案》，结合学校实际制定。</w:t>
      </w:r>
    </w:p>
    <w:p w14:paraId="043D94FE">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rPr>
        <w:t xml:space="preserve">第九条 </w:t>
      </w:r>
      <w:r>
        <w:rPr>
          <w:rFonts w:hint="eastAsia" w:ascii="仿宋_GB2312" w:hAnsi="仿宋" w:eastAsia="仿宋_GB2312" w:cs="仿宋_GB2312"/>
          <w:b w:val="0"/>
          <w:bCs w:val="0"/>
          <w:color w:val="000000"/>
          <w:kern w:val="0"/>
          <w:sz w:val="32"/>
          <w:szCs w:val="32"/>
          <w:u w:val="none"/>
          <w:shd w:val="clear" w:fill="FFFFFF"/>
        </w:rPr>
        <w:t>学校</w:t>
      </w:r>
      <w:r>
        <w:rPr>
          <w:rFonts w:hint="eastAsia" w:ascii="仿宋_GB2312" w:hAnsi="仿宋" w:eastAsia="仿宋_GB2312" w:cs="仿宋_GB2312"/>
          <w:b w:val="0"/>
          <w:bCs w:val="0"/>
          <w:color w:val="000000"/>
          <w:kern w:val="0"/>
          <w:sz w:val="32"/>
          <w:szCs w:val="32"/>
          <w:u w:val="none"/>
          <w:shd w:val="clear" w:fill="FFFFFF"/>
          <w:lang w:val="en-US" w:eastAsia="zh-CN"/>
        </w:rPr>
        <w:t>总务处、</w:t>
      </w:r>
      <w:r>
        <w:rPr>
          <w:rFonts w:hint="eastAsia" w:ascii="仿宋_GB2312" w:hAnsi="仿宋" w:eastAsia="仿宋_GB2312" w:cs="仿宋_GB2312"/>
          <w:b w:val="0"/>
          <w:bCs w:val="0"/>
          <w:color w:val="000000"/>
          <w:kern w:val="0"/>
          <w:sz w:val="32"/>
          <w:szCs w:val="32"/>
          <w:u w:val="none"/>
          <w:shd w:val="clear" w:fill="FFFFFF"/>
        </w:rPr>
        <w:t>保卫处、学生处、实训中心等部门在学校领导小组的指导下，根据学校总体应急预案的要求和工作职责编制本部门防汛应急预案。坚持“避险为要”，落实应急避险场所，明确避险工作流程、避险线路、集中安置点和各环节的责任单位及责任人。</w:t>
      </w:r>
    </w:p>
    <w:p w14:paraId="55E4FE6B">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hint="eastAsia" w:ascii="仿宋_GB2312" w:hAnsi="仿宋" w:eastAsia="仿宋_GB2312" w:cs="仿宋_GB2312"/>
          <w:b w:val="0"/>
          <w:bCs w:val="0"/>
          <w:color w:val="000000"/>
          <w:kern w:val="0"/>
          <w:sz w:val="32"/>
          <w:szCs w:val="32"/>
          <w:u w:val="none"/>
          <w:shd w:val="clear" w:fill="FFFFFF"/>
        </w:rPr>
      </w:pPr>
      <w:r>
        <w:rPr>
          <w:rStyle w:val="5"/>
          <w:rFonts w:hint="eastAsia" w:ascii="楷体_GB2312" w:hAnsi="楷体_GB2312" w:eastAsia="楷体_GB2312" w:cs="楷体_GB2312"/>
          <w:b/>
          <w:bCs w:val="0"/>
          <w:color w:val="000000"/>
          <w:kern w:val="0"/>
          <w:sz w:val="32"/>
          <w:szCs w:val="32"/>
          <w:u w:val="none"/>
          <w:shd w:val="clear" w:fill="FFFFFF"/>
        </w:rPr>
        <w:t xml:space="preserve">第十条 </w:t>
      </w:r>
      <w:r>
        <w:rPr>
          <w:rFonts w:hint="eastAsia" w:ascii="仿宋_GB2312" w:hAnsi="仿宋" w:eastAsia="仿宋_GB2312" w:cs="仿宋_GB2312"/>
          <w:b w:val="0"/>
          <w:bCs w:val="0"/>
          <w:color w:val="000000"/>
          <w:kern w:val="0"/>
          <w:sz w:val="32"/>
          <w:szCs w:val="32"/>
          <w:u w:val="none"/>
          <w:shd w:val="clear" w:fill="FFFFFF"/>
        </w:rPr>
        <w:t>各级各类应急预案应根据实际情况变化，由制订单位适时修订、完善。</w:t>
      </w:r>
    </w:p>
    <w:p w14:paraId="65A9E841">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 w:eastAsia="仿宋_GB2312" w:cs="仿宋_GB2312"/>
          <w:b w:val="0"/>
          <w:bCs w:val="0"/>
          <w:color w:val="000000"/>
          <w:kern w:val="0"/>
          <w:sz w:val="32"/>
          <w:szCs w:val="32"/>
          <w:u w:val="none"/>
          <w:shd w:val="clear" w:fill="FFFFFF"/>
        </w:rPr>
      </w:pPr>
    </w:p>
    <w:p w14:paraId="150B4D9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pPr>
      <w:r>
        <w:rPr>
          <w:rFonts w:hint="eastAsia" w:ascii="黑体" w:hAnsi="宋体" w:eastAsia="黑体" w:cs="黑体"/>
          <w:b w:val="0"/>
          <w:bCs w:val="0"/>
          <w:kern w:val="2"/>
          <w:sz w:val="32"/>
          <w:szCs w:val="32"/>
          <w:u w:val="none"/>
        </w:rPr>
        <w:t>第四章</w:t>
      </w:r>
      <w:r>
        <w:rPr>
          <w:rFonts w:hint="eastAsia" w:ascii="黑体" w:hAnsi="宋体" w:eastAsia="黑体" w:cs="仿宋_GB2312"/>
          <w:b w:val="0"/>
          <w:bCs w:val="0"/>
          <w:kern w:val="2"/>
          <w:sz w:val="32"/>
          <w:szCs w:val="32"/>
          <w:u w:val="none"/>
        </w:rPr>
        <w:t xml:space="preserve">  </w:t>
      </w:r>
      <w:r>
        <w:rPr>
          <w:rFonts w:hint="eastAsia" w:ascii="黑体" w:hAnsi="宋体" w:eastAsia="黑体" w:cs="黑体"/>
          <w:b w:val="0"/>
          <w:bCs/>
          <w:kern w:val="2"/>
          <w:sz w:val="32"/>
          <w:szCs w:val="32"/>
          <w:u w:val="none"/>
        </w:rPr>
        <w:t>预防和预警机制</w:t>
      </w:r>
    </w:p>
    <w:p w14:paraId="604B0CB1">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rPr>
        <w:t xml:space="preserve">第十一条 </w:t>
      </w:r>
      <w:r>
        <w:rPr>
          <w:rFonts w:hint="eastAsia" w:ascii="仿宋_GB2312" w:hAnsi="仿宋" w:eastAsia="仿宋_GB2312" w:cs="仿宋_GB2312"/>
          <w:b w:val="0"/>
          <w:bCs w:val="0"/>
          <w:color w:val="000000"/>
          <w:kern w:val="0"/>
          <w:sz w:val="32"/>
          <w:szCs w:val="32"/>
          <w:u w:val="none"/>
          <w:shd w:val="clear" w:fill="FFFFFF"/>
        </w:rPr>
        <w:t>全校要扎实做好汛灾的日常预防和应急准备，未雨绸缪，周密部署，狠抓落实，切实提高防汛处置能力，确保一旦灾情发生能够快速反应和积极有效处置灾情。</w:t>
      </w:r>
    </w:p>
    <w:p w14:paraId="1673E090">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1.加强演练。加强应急响应机制的日常管理，组织人员培训，经常开展演练活动，提高队伍理论素质和实践技能，不断提高防汛救灾指挥能力和实战能力。</w:t>
      </w:r>
    </w:p>
    <w:p w14:paraId="4F479F63">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2.强化储备。要结合实际需要，制定抢险救援救灾物资储备计划，做好抢险救援救灾物资的采购、储备、保养、更新、补充等工作。</w:t>
      </w:r>
    </w:p>
    <w:p w14:paraId="7AD3C071">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3.排查整改。各</w:t>
      </w:r>
      <w:r>
        <w:rPr>
          <w:rFonts w:hint="eastAsia" w:ascii="仿宋_GB2312" w:hAnsi="仿宋" w:eastAsia="仿宋_GB2312" w:cs="仿宋_GB2312"/>
          <w:b w:val="0"/>
          <w:bCs w:val="0"/>
          <w:color w:val="000000"/>
          <w:kern w:val="0"/>
          <w:sz w:val="32"/>
          <w:szCs w:val="32"/>
          <w:u w:val="none"/>
          <w:shd w:val="clear" w:fill="FFFFFF"/>
          <w:lang w:val="en-US" w:eastAsia="zh-CN"/>
        </w:rPr>
        <w:t>单位</w:t>
      </w:r>
      <w:r>
        <w:rPr>
          <w:rFonts w:hint="eastAsia" w:ascii="仿宋_GB2312" w:hAnsi="仿宋" w:eastAsia="仿宋_GB2312" w:cs="仿宋_GB2312"/>
          <w:b w:val="0"/>
          <w:bCs w:val="0"/>
          <w:color w:val="000000"/>
          <w:kern w:val="0"/>
          <w:sz w:val="32"/>
          <w:szCs w:val="32"/>
          <w:u w:val="none"/>
          <w:shd w:val="clear" w:fill="FFFFFF"/>
        </w:rPr>
        <w:t>要加强风险隐患排查整治，要组织开展好汛前、汛期安全隐患排查整治工作，扎实排查安全隐患，建立排查整改台账，做到排查有记录、整改有跟踪。排查整改的重点工作包括：</w:t>
      </w:r>
    </w:p>
    <w:p w14:paraId="18E0CF42">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（1）排水防涝</w:t>
      </w:r>
    </w:p>
    <w:p w14:paraId="0CAC57E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①做好校内排水设施设备和排水管网的检查、维修，清理屋顶平台，防止天沟和落水管道阻塞。</w:t>
      </w:r>
    </w:p>
    <w:p w14:paraId="4A33E2DC">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②及时清理下水井、排水管线和校园路面垃圾，确保校内排水、道路畅通。</w:t>
      </w:r>
    </w:p>
    <w:p w14:paraId="101352CB">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③做好防止低洼易涝区域地下设施的雨水倒灌和积水排水准备，及时搬移教学仪器设备、图书等，有条件的要设置贮水井、排水泵、挡水板、沙袋等。</w:t>
      </w:r>
    </w:p>
    <w:p w14:paraId="6D213E1D">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④对校内景观湖、蓄水池、贮水井进行预排空或降低贮水量。</w:t>
      </w:r>
    </w:p>
    <w:p w14:paraId="29655D2E">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（2）防高空坠物</w:t>
      </w:r>
    </w:p>
    <w:p w14:paraId="2E234A6F">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①全面清理各类校园高空构筑物，对空调外机、宣传指示牌、室外天线、老旧牌匾等户外设施以及墙面突出标志进行清查，及时加固。</w:t>
      </w:r>
    </w:p>
    <w:p w14:paraId="4D77BA9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②做好校园内的大树、老树维护，特别要注意对行道树以及学生活动区域的老树、大树及时修剪、加固。</w:t>
      </w:r>
    </w:p>
    <w:p w14:paraId="1DC11A81">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③注意校内简易工棚、简陋车棚、建筑外贴面的清理整治，及时消除问题隐患。</w:t>
      </w:r>
    </w:p>
    <w:p w14:paraId="2EF5D67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（3）防雷工作</w:t>
      </w:r>
    </w:p>
    <w:p w14:paraId="5EC4F6FB">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①确保必要的资金投入，分步实施对校内建筑的防雷安全检测，重点做好对老旧建筑的防雷安全检测和隐患整治工作。</w:t>
      </w:r>
    </w:p>
    <w:p w14:paraId="7B9D5603">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②对防雷安全检测中查出的问题和隐患，应立即制定整改计划，明确时间节点，加强隐患治理动态跟踪，确保防雷检测与整治工作取得实效。</w:t>
      </w:r>
    </w:p>
    <w:p w14:paraId="25D42CE8">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（4）防校舍安全</w:t>
      </w:r>
    </w:p>
    <w:p w14:paraId="480B937D">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要加强对校舍的安全排查，及时维修维护，确保校舍安全。经排查评估鉴定为不同等级危房的校舍，依据危房等级，决定要么坚决停止使用，立即拆除，要么按轻重缓急次序及时进行维修加固。</w:t>
      </w:r>
    </w:p>
    <w:p w14:paraId="46391E53">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4.风险防范。在强降雨来临前，根据需要及时加强与同级防汛部门、气象、水利、自然资源、住建等部门联系沟通，分析风险隐患，列出风险清单、提出防范要求，向全校各部门发送风险提示信息，督促逐项落实防范措施。</w:t>
      </w:r>
    </w:p>
    <w:p w14:paraId="7DCB3FAB">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rPr>
        <w:t xml:space="preserve">第十二条  </w:t>
      </w:r>
      <w:r>
        <w:rPr>
          <w:rFonts w:hint="eastAsia" w:ascii="仿宋_GB2312" w:hAnsi="仿宋" w:eastAsia="仿宋_GB2312" w:cs="仿宋_GB2312"/>
          <w:b w:val="0"/>
          <w:bCs w:val="0"/>
          <w:color w:val="000000"/>
          <w:kern w:val="0"/>
          <w:sz w:val="32"/>
          <w:szCs w:val="32"/>
          <w:u w:val="none"/>
          <w:shd w:val="clear" w:fill="FFFFFF"/>
        </w:rPr>
        <w:t>做好防汛预警工作。</w:t>
      </w:r>
    </w:p>
    <w:p w14:paraId="312D67C6">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1.根据《河南省防汛应急预案》和气象、水利、地质、城市内涝等应急预案，依据暴雨、河道洪水、山洪灾害、地质灾害、城市内涝等可能造成的危害性、紧急程度和发展势态，将风险预警级别划分为四个等级，从低到高分别为一般（Ⅳ级，蓝色）、较大（Ⅲ级，黄色）、严重（Ⅱ级，橙色）、特别严重（Ⅰ级，红色）。</w:t>
      </w:r>
    </w:p>
    <w:p w14:paraId="0528349F">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2.学校要与市防汛、气象、水利、自然资源、住建等部门保持密切联系，根据发布的暴雨、洪水、地质灾害、城市内涝等预警信息，组织本系统采取预警应急行动，及时通知校内各单位做好相应预警行动。实行24小时值班值守，动员防汛力量，迅速进入应急状态。</w:t>
      </w:r>
    </w:p>
    <w:p w14:paraId="3121CEF6">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学校要明确应对风险预警各类级别的具体行动，做到事项清晰、行动明了、责任到人，不漏项、无盲点。尤其是应对暴雨一级红色预警，要严格落实河南省教育厅、河南省气象局印发的《关于在暴雨红色预警条件下实行停课措施的通知》要求，果断停学、停课。</w:t>
      </w:r>
    </w:p>
    <w:p w14:paraId="1BEAE231">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 w:eastAsia="仿宋_GB2312" w:cs="仿宋_GB2312"/>
          <w:b w:val="0"/>
          <w:bCs w:val="0"/>
          <w:color w:val="000000"/>
          <w:kern w:val="0"/>
          <w:sz w:val="32"/>
          <w:szCs w:val="32"/>
          <w:u w:val="none"/>
          <w:shd w:val="clear" w:fill="FFFFFF"/>
        </w:rPr>
      </w:pPr>
      <w:r>
        <w:rPr>
          <w:rFonts w:hint="eastAsia" w:ascii="仿宋_GB2312" w:hAnsi="仿宋" w:eastAsia="仿宋_GB2312" w:cs="仿宋_GB2312"/>
          <w:b w:val="0"/>
          <w:bCs w:val="0"/>
          <w:color w:val="000000"/>
          <w:kern w:val="0"/>
          <w:sz w:val="32"/>
          <w:szCs w:val="32"/>
          <w:u w:val="none"/>
          <w:shd w:val="clear" w:fill="FFFFFF"/>
        </w:rPr>
        <w:t>市防汛、气象、水利、自然资源、住建等部门调整或解除灾害预警时，学校同步予以公告。</w:t>
      </w:r>
    </w:p>
    <w:p w14:paraId="263ECD62">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 w:eastAsia="仿宋_GB2312" w:cs="仿宋_GB2312"/>
          <w:b w:val="0"/>
          <w:bCs w:val="0"/>
          <w:color w:val="000000"/>
          <w:kern w:val="0"/>
          <w:sz w:val="32"/>
          <w:szCs w:val="32"/>
          <w:u w:val="none"/>
          <w:shd w:val="clear" w:fill="FFFFFF"/>
        </w:rPr>
      </w:pPr>
    </w:p>
    <w:p w14:paraId="4196ABB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pPr>
      <w:r>
        <w:rPr>
          <w:rFonts w:hint="eastAsia" w:ascii="黑体" w:hAnsi="宋体" w:eastAsia="黑体" w:cs="黑体"/>
          <w:b w:val="0"/>
          <w:bCs/>
          <w:kern w:val="2"/>
          <w:sz w:val="32"/>
          <w:szCs w:val="32"/>
          <w:u w:val="none"/>
        </w:rPr>
        <w:t>第五章</w:t>
      </w:r>
      <w:r>
        <w:rPr>
          <w:rFonts w:hint="eastAsia" w:ascii="黑体" w:hAnsi="宋体" w:eastAsia="黑体" w:cs="仿宋_GB2312"/>
          <w:b w:val="0"/>
          <w:bCs/>
          <w:kern w:val="2"/>
          <w:sz w:val="32"/>
          <w:szCs w:val="32"/>
          <w:u w:val="none"/>
        </w:rPr>
        <w:t xml:space="preserve">  </w:t>
      </w:r>
      <w:r>
        <w:rPr>
          <w:rFonts w:hint="eastAsia" w:ascii="黑体" w:hAnsi="宋体" w:eastAsia="黑体" w:cs="黑体"/>
          <w:b w:val="0"/>
          <w:bCs/>
          <w:kern w:val="2"/>
          <w:sz w:val="32"/>
          <w:szCs w:val="32"/>
          <w:u w:val="none"/>
        </w:rPr>
        <w:t>应急预案启动</w:t>
      </w:r>
    </w:p>
    <w:p w14:paraId="7C6F6E05">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rPr>
        <w:t xml:space="preserve">第十三条  </w:t>
      </w:r>
      <w:r>
        <w:rPr>
          <w:rFonts w:hint="eastAsia" w:ascii="仿宋_GB2312" w:hAnsi="仿宋" w:eastAsia="仿宋_GB2312" w:cs="仿宋_GB2312"/>
          <w:b w:val="0"/>
          <w:bCs w:val="0"/>
          <w:color w:val="000000"/>
          <w:kern w:val="0"/>
          <w:sz w:val="32"/>
          <w:szCs w:val="32"/>
          <w:u w:val="none"/>
          <w:shd w:val="clear" w:fill="FFFFFF"/>
        </w:rPr>
        <w:t>应急响应</w:t>
      </w:r>
    </w:p>
    <w:p w14:paraId="33BFD42C">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1.按照洪涝灾害严重程度和影响范围，防汛应急响应级别由低到高划分为一般（Ⅳ级）、较大（Ⅲ级）、重大（Ⅱ级）、特别重大（Ⅰ级）四级。</w:t>
      </w:r>
    </w:p>
    <w:p w14:paraId="51896D1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rPr>
        <w:t xml:space="preserve">第十四条 </w:t>
      </w:r>
      <w:r>
        <w:rPr>
          <w:rFonts w:hint="eastAsia" w:ascii="仿宋_GB2312" w:hAnsi="仿宋" w:eastAsia="仿宋_GB2312" w:cs="仿宋_GB2312"/>
          <w:b w:val="0"/>
          <w:bCs w:val="0"/>
          <w:color w:val="000000"/>
          <w:kern w:val="0"/>
          <w:sz w:val="32"/>
          <w:szCs w:val="32"/>
          <w:u w:val="none"/>
          <w:shd w:val="clear" w:fill="FFFFFF"/>
        </w:rPr>
        <w:t>应急响应启动原则</w:t>
      </w:r>
    </w:p>
    <w:p w14:paraId="40A1A113">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（1）实事求是，先行行动。学校如遇紧急情况可根据灾情实际，先行启动应急响应。</w:t>
      </w:r>
    </w:p>
    <w:p w14:paraId="37E5E8B0">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（2）暴雨预警，立即行动。在当地相应级别的暴雨预警发布后，学校根据预警，可立即启动应急响应。</w:t>
      </w:r>
    </w:p>
    <w:p w14:paraId="1D5B7D42">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（3）同级响应，同级行动。学校应当按照同级防指启动的应急响应级别，启动相应的应急响应行动，开展好相关工作。</w:t>
      </w:r>
    </w:p>
    <w:p w14:paraId="621BB5E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无论发生哪一级灾害，学校必须第一时间紧急处理，防止事态及危害进一步扩大，并及时向上级报告。</w:t>
      </w:r>
    </w:p>
    <w:p w14:paraId="2C8FBD17">
      <w:pPr>
        <w:pStyle w:val="2"/>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auto"/>
        <w:rPr>
          <w:rFonts w:hint="eastAsia" w:ascii="仿宋_GB2312" w:hAnsi="仿宋" w:eastAsia="仿宋_GB2312" w:cs="仿宋_GB2312"/>
          <w:b w:val="0"/>
          <w:bCs w:val="0"/>
          <w:color w:val="000000"/>
          <w:kern w:val="0"/>
          <w:sz w:val="32"/>
          <w:szCs w:val="32"/>
          <w:u w:val="none"/>
          <w:shd w:val="clear" w:fill="FFFFFF"/>
        </w:rPr>
      </w:pPr>
      <w:r>
        <w:rPr>
          <w:rStyle w:val="5"/>
          <w:rFonts w:hint="eastAsia" w:ascii="楷体_GB2312" w:hAnsi="楷体_GB2312" w:eastAsia="楷体_GB2312" w:cs="楷体_GB2312"/>
          <w:b/>
          <w:bCs w:val="0"/>
          <w:color w:val="000000"/>
          <w:kern w:val="0"/>
          <w:sz w:val="32"/>
          <w:szCs w:val="32"/>
          <w:u w:val="none"/>
          <w:shd w:val="clear" w:fill="FFFFFF"/>
          <w:lang w:val="en-US" w:eastAsia="zh-CN"/>
        </w:rPr>
        <w:t xml:space="preserve">第十五条 </w:t>
      </w:r>
      <w:r>
        <w:rPr>
          <w:rFonts w:hint="eastAsia" w:ascii="仿宋_GB2312" w:hAnsi="仿宋" w:eastAsia="仿宋_GB2312" w:cs="仿宋_GB2312"/>
          <w:b w:val="0"/>
          <w:bCs w:val="0"/>
          <w:color w:val="000000"/>
          <w:kern w:val="0"/>
          <w:sz w:val="32"/>
          <w:szCs w:val="32"/>
          <w:u w:val="none"/>
          <w:shd w:val="clear" w:fill="FFFFFF"/>
        </w:rPr>
        <w:t>应急响应行动</w:t>
      </w:r>
    </w:p>
    <w:p w14:paraId="5EAFBCD1">
      <w:pPr>
        <w:pStyle w:val="2"/>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灾情发生后，学校按照应急响应</w:t>
      </w:r>
      <w:r>
        <w:rPr>
          <w:rFonts w:hint="eastAsia" w:ascii="仿宋_GB2312" w:hAnsi="仿宋" w:eastAsia="仿宋_GB2312" w:cs="仿宋_GB2312"/>
          <w:b w:val="0"/>
          <w:bCs w:val="0"/>
          <w:color w:val="000000"/>
          <w:kern w:val="0"/>
          <w:sz w:val="32"/>
          <w:szCs w:val="32"/>
          <w:u w:val="none"/>
          <w:shd w:val="clear" w:fill="FFFFFF"/>
          <w:lang w:eastAsia="zh-CN"/>
        </w:rPr>
        <w:t>程序</w:t>
      </w:r>
      <w:r>
        <w:rPr>
          <w:rFonts w:hint="eastAsia" w:ascii="仿宋_GB2312" w:hAnsi="仿宋" w:eastAsia="仿宋_GB2312" w:cs="仿宋_GB2312"/>
          <w:b w:val="0"/>
          <w:bCs w:val="0"/>
          <w:color w:val="000000"/>
          <w:kern w:val="0"/>
          <w:sz w:val="32"/>
          <w:szCs w:val="32"/>
          <w:u w:val="none"/>
          <w:shd w:val="clear" w:fill="FFFFFF"/>
        </w:rPr>
        <w:t>，学校值班室 →抗洪带班领导→学校抗洪领导小组 →报告上级部门</w:t>
      </w:r>
      <w:r>
        <w:rPr>
          <w:rFonts w:hint="eastAsia" w:ascii="仿宋_GB2312" w:hAnsi="仿宋" w:eastAsia="仿宋_GB2312" w:cs="仿宋_GB2312"/>
          <w:b w:val="0"/>
          <w:bCs w:val="0"/>
          <w:color w:val="000000"/>
          <w:kern w:val="0"/>
          <w:sz w:val="32"/>
          <w:szCs w:val="32"/>
          <w:u w:val="none"/>
          <w:shd w:val="clear" w:fill="FFFFFF"/>
          <w:lang w:eastAsia="zh-CN"/>
        </w:rPr>
        <w:t>，</w:t>
      </w:r>
      <w:r>
        <w:rPr>
          <w:rFonts w:hint="eastAsia" w:ascii="仿宋_GB2312" w:hAnsi="仿宋" w:eastAsia="仿宋_GB2312" w:cs="仿宋_GB2312"/>
          <w:b w:val="0"/>
          <w:bCs w:val="0"/>
          <w:color w:val="000000"/>
          <w:kern w:val="0"/>
          <w:sz w:val="32"/>
          <w:szCs w:val="32"/>
          <w:u w:val="none"/>
          <w:shd w:val="clear" w:fill="FFFFFF"/>
        </w:rPr>
        <w:t>在当地政府的统一领导下，根据灾情等级或实际工作需要，启动预案的相应响应级别，做好应急响应工作。</w:t>
      </w:r>
    </w:p>
    <w:p w14:paraId="6B2988C3">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1.一般（Ⅳ级）应急响应行动</w:t>
      </w:r>
    </w:p>
    <w:p w14:paraId="13E7244E">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①学校立即启动相应预案，第一时间向当地政府和上级教育行政部门报告灾情信息。</w:t>
      </w:r>
    </w:p>
    <w:p w14:paraId="72E8A39B">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②根据上级教育行政部门和当地防汛指挥部门部署，向学校师生发出预警信息和防御指引，加强学生安全教育。</w:t>
      </w:r>
    </w:p>
    <w:p w14:paraId="2B704A67">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③开展校园安全隐患排查整改，必要时转移在危险教室和宿舍的师生员工、可能受影响的教学设施设备。</w:t>
      </w:r>
    </w:p>
    <w:p w14:paraId="0EF9E54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④抢险救援队伍随时待命，确保第一时间完成抢排积水、应急抢险等工作。</w:t>
      </w:r>
    </w:p>
    <w:p w14:paraId="4C4E85CC">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⑤及时向上级报告灾情事件进展及工作动态。</w:t>
      </w:r>
    </w:p>
    <w:p w14:paraId="1F84B61B">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2.较大（Ⅲ级）应急响应行动</w:t>
      </w:r>
    </w:p>
    <w:p w14:paraId="3E1CC631">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①学校主要负责人坐镇指挥应急响应行动，对各环节落实情况进行检查。实行领导24小时到岗带班值班制度。</w:t>
      </w:r>
    </w:p>
    <w:p w14:paraId="44BA6BE4">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②停止一切露天活动，建立在校学生台账，妥善安置在校学生，安排专人做好学生安全管理工作。</w:t>
      </w:r>
    </w:p>
    <w:p w14:paraId="63A61B16">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③检查应急物资储备情况，对危险校舍、水电线路等重点领域进行再次摸排，重点部位实行专人盯防。</w:t>
      </w:r>
    </w:p>
    <w:p w14:paraId="404AAC80">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 xml:space="preserve">④根据灾情类型，采取停课、延迟放学或统一组织师生员工疏散撤离等措施；停课时学生在校的，要组织转移到安全地带。    </w:t>
      </w:r>
    </w:p>
    <w:p w14:paraId="1EA21E95">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⑤立即组织应急队伍，营救遇险人员，积极开展自救、互救；同时，争取当地政府专业救援力量现场开展抢险救援工作。</w:t>
      </w:r>
    </w:p>
    <w:p w14:paraId="537E8C82">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⑥及时向当上级报告事件进展及工作动态。</w:t>
      </w:r>
    </w:p>
    <w:p w14:paraId="57FEEC35">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3.重大（Ⅱ级）应急响应行动</w:t>
      </w:r>
    </w:p>
    <w:p w14:paraId="1683BDB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①学校主要领导指挥应急响应行动，学校领导全部到岗，根据各自职责落实抢险队伍和救灾物资，对随时出现的险情、灾情，做到随调随到，迅速开展抢险救灾工作。实行领导24小时到岗带班值班制度。</w:t>
      </w:r>
    </w:p>
    <w:p w14:paraId="1C5DB69E">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②学校停课，停止室内大型集会，立即疏散人员。</w:t>
      </w:r>
    </w:p>
    <w:p w14:paraId="1329C182">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③做好灾害发生后的先期应急处置，在政府专业救援到来之前，积极开展自救。协助当地政府专业救援部门，组织师生员工疏散、转移到安全避灾场所，做到应转尽转，不落一人。配合抢救伤员或营救遇险人员，防止发生次生、衍生事故，避免造成人员伤亡。</w:t>
      </w:r>
    </w:p>
    <w:p w14:paraId="1F9BA94E">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④如被政府设定为临时避险场所，学校需要对社会开放，并协助做好灾民的安置和赈灾救济工作。</w:t>
      </w:r>
    </w:p>
    <w:p w14:paraId="16D988B0">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⑤及时向上级报告事件进展及工作动态。</w:t>
      </w:r>
    </w:p>
    <w:p w14:paraId="14B69F1E">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4.特别重大（Ⅰ级）应急响应行动</w:t>
      </w:r>
    </w:p>
    <w:p w14:paraId="368D929E">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①在做好Ⅱ级应急响应处置工作的基础上，在当地政府的领导下，协助当地政府专业救援部门，对受困人员持续开展救助工作。如果灾情仍然持续，应采取必要措施转移到属地政府安排的避难场所，做到应转尽转，不落一人，务必确保师生员工生命安全。</w:t>
      </w:r>
    </w:p>
    <w:p w14:paraId="3ADF51A6">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②如被政府设定为临时避险场所，学校要协助职能部门做好灾民安置和赈灾救济工作。</w:t>
      </w:r>
    </w:p>
    <w:p w14:paraId="6137F92B">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 w:eastAsia="仿宋_GB2312" w:cs="仿宋_GB2312"/>
          <w:b w:val="0"/>
          <w:bCs w:val="0"/>
          <w:color w:val="000000"/>
          <w:kern w:val="0"/>
          <w:sz w:val="32"/>
          <w:szCs w:val="32"/>
          <w:u w:val="none"/>
          <w:shd w:val="clear" w:fill="FFFFFF"/>
        </w:rPr>
      </w:pPr>
      <w:r>
        <w:rPr>
          <w:rFonts w:hint="eastAsia" w:ascii="仿宋_GB2312" w:hAnsi="仿宋" w:eastAsia="仿宋_GB2312" w:cs="仿宋_GB2312"/>
          <w:b w:val="0"/>
          <w:bCs w:val="0"/>
          <w:color w:val="000000"/>
          <w:kern w:val="0"/>
          <w:sz w:val="32"/>
          <w:szCs w:val="32"/>
          <w:u w:val="none"/>
          <w:shd w:val="clear" w:fill="FFFFFF"/>
        </w:rPr>
        <w:t>③及时向上级报告事件进展及工作动态。</w:t>
      </w:r>
    </w:p>
    <w:p w14:paraId="6BB1B1AA">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 w:eastAsia="仿宋_GB2312" w:cs="仿宋_GB2312"/>
          <w:b w:val="0"/>
          <w:bCs w:val="0"/>
          <w:color w:val="000000"/>
          <w:kern w:val="0"/>
          <w:sz w:val="32"/>
          <w:szCs w:val="32"/>
          <w:u w:val="none"/>
          <w:shd w:val="clear" w:fill="FFFFFF"/>
        </w:rPr>
      </w:pPr>
    </w:p>
    <w:p w14:paraId="566482E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pPr>
      <w:r>
        <w:rPr>
          <w:rFonts w:hint="eastAsia" w:ascii="黑体" w:hAnsi="宋体" w:eastAsia="黑体" w:cs="黑体"/>
          <w:b w:val="0"/>
          <w:bCs/>
          <w:kern w:val="2"/>
          <w:sz w:val="32"/>
          <w:szCs w:val="32"/>
          <w:u w:val="none"/>
        </w:rPr>
        <w:t>第六章</w:t>
      </w:r>
      <w:r>
        <w:rPr>
          <w:rFonts w:hint="eastAsia" w:ascii="黑体" w:hAnsi="宋体" w:eastAsia="黑体" w:cs="仿宋_GB2312"/>
          <w:b w:val="0"/>
          <w:bCs/>
          <w:kern w:val="2"/>
          <w:sz w:val="32"/>
          <w:szCs w:val="32"/>
          <w:u w:val="none"/>
        </w:rPr>
        <w:t xml:space="preserve">  </w:t>
      </w:r>
      <w:r>
        <w:rPr>
          <w:rFonts w:hint="eastAsia" w:ascii="黑体" w:hAnsi="宋体" w:eastAsia="黑体" w:cs="黑体"/>
          <w:b w:val="0"/>
          <w:bCs/>
          <w:kern w:val="2"/>
          <w:sz w:val="32"/>
          <w:szCs w:val="32"/>
          <w:u w:val="none"/>
        </w:rPr>
        <w:t>应急保障</w:t>
      </w:r>
    </w:p>
    <w:p w14:paraId="172BFC4D">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lang w:val="en-US" w:eastAsia="zh-CN"/>
        </w:rPr>
        <w:t xml:space="preserve">第十六条  </w:t>
      </w:r>
      <w:r>
        <w:rPr>
          <w:rFonts w:hint="eastAsia" w:ascii="仿宋_GB2312" w:hAnsi="仿宋" w:eastAsia="仿宋_GB2312" w:cs="仿宋_GB2312"/>
          <w:b w:val="0"/>
          <w:bCs w:val="0"/>
          <w:color w:val="000000"/>
          <w:kern w:val="0"/>
          <w:sz w:val="32"/>
          <w:szCs w:val="32"/>
          <w:u w:val="none"/>
          <w:shd w:val="clear" w:fill="FFFFFF"/>
        </w:rPr>
        <w:t>应急人员保障</w:t>
      </w:r>
    </w:p>
    <w:p w14:paraId="332202B1">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设置应急处置专业工作组和应急预备队。</w:t>
      </w:r>
    </w:p>
    <w:p w14:paraId="3A738D82">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1.安全保卫组</w:t>
      </w:r>
    </w:p>
    <w:p w14:paraId="06369DF8">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eastAsia="仿宋_GB2312"/>
          <w:lang w:eastAsia="zh-CN"/>
        </w:rPr>
      </w:pPr>
      <w:r>
        <w:rPr>
          <w:rFonts w:hint="eastAsia" w:ascii="仿宋_GB2312" w:hAnsi="仿宋" w:eastAsia="仿宋_GB2312" w:cs="仿宋_GB2312"/>
          <w:b w:val="0"/>
          <w:bCs w:val="0"/>
          <w:color w:val="000000"/>
          <w:kern w:val="0"/>
          <w:sz w:val="32"/>
          <w:szCs w:val="32"/>
          <w:u w:val="none"/>
          <w:shd w:val="clear" w:fill="FFFFFF"/>
        </w:rPr>
        <w:t>组  长：</w:t>
      </w:r>
      <w:r>
        <w:rPr>
          <w:rFonts w:hint="eastAsia" w:ascii="仿宋_GB2312" w:hAnsi="仿宋" w:eastAsia="仿宋_GB2312" w:cs="仿宋_GB2312"/>
          <w:b w:val="0"/>
          <w:bCs w:val="0"/>
          <w:color w:val="000000"/>
          <w:kern w:val="0"/>
          <w:sz w:val="32"/>
          <w:szCs w:val="32"/>
          <w:u w:val="none"/>
          <w:shd w:val="clear" w:fill="FFFFFF"/>
          <w:lang w:eastAsia="zh-CN"/>
        </w:rPr>
        <w:t>李晓进</w:t>
      </w:r>
    </w:p>
    <w:p w14:paraId="0530D066">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成  员：保卫处全体员工</w:t>
      </w:r>
    </w:p>
    <w:p w14:paraId="46067F6E">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职责任务：负责汛期校园安全防范；维护学校治安安全、交通安全、消防安全；负责防汛监控值班、巡逻巡查；提供报警及监控系统保障；协助有关部门搞好师生的安全疏散。</w:t>
      </w:r>
    </w:p>
    <w:p w14:paraId="0CC636D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2.人员疏散组</w:t>
      </w:r>
    </w:p>
    <w:p w14:paraId="0E945F26">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eastAsia="仿宋_GB2312"/>
          <w:lang w:eastAsia="zh-CN"/>
        </w:rPr>
      </w:pPr>
      <w:r>
        <w:rPr>
          <w:rFonts w:hint="eastAsia" w:ascii="仿宋_GB2312" w:hAnsi="仿宋" w:eastAsia="仿宋_GB2312" w:cs="仿宋_GB2312"/>
          <w:b w:val="0"/>
          <w:bCs w:val="0"/>
          <w:color w:val="000000"/>
          <w:kern w:val="0"/>
          <w:sz w:val="32"/>
          <w:szCs w:val="32"/>
          <w:u w:val="none"/>
          <w:shd w:val="clear" w:fill="FFFFFF"/>
        </w:rPr>
        <w:t>组  长：</w:t>
      </w:r>
      <w:r>
        <w:rPr>
          <w:rFonts w:hint="eastAsia" w:ascii="仿宋_GB2312" w:hAnsi="仿宋" w:eastAsia="仿宋_GB2312" w:cs="仿宋_GB2312"/>
          <w:b w:val="0"/>
          <w:bCs w:val="0"/>
          <w:color w:val="000000"/>
          <w:kern w:val="0"/>
          <w:sz w:val="32"/>
          <w:szCs w:val="32"/>
          <w:u w:val="none"/>
          <w:shd w:val="clear" w:fill="FFFFFF"/>
          <w:lang w:eastAsia="zh-CN"/>
        </w:rPr>
        <w:t>雎小稳</w:t>
      </w:r>
    </w:p>
    <w:p w14:paraId="6DB82D6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成  员：学生处  团委全体教职员工</w:t>
      </w:r>
    </w:p>
    <w:p w14:paraId="70B3A583">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职责任务：负责学生的防汛动员、宣传、演练；汛期组织安全疏散；会同后勤保障组安置疏散后的人员生活。</w:t>
      </w:r>
    </w:p>
    <w:p w14:paraId="14EB15CE">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3.卫生医疗组</w:t>
      </w:r>
    </w:p>
    <w:p w14:paraId="734B4F78">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eastAsia="仿宋_GB2312"/>
          <w:lang w:eastAsia="zh-CN"/>
        </w:rPr>
      </w:pPr>
      <w:r>
        <w:rPr>
          <w:rFonts w:hint="eastAsia" w:ascii="仿宋_GB2312" w:hAnsi="仿宋" w:eastAsia="仿宋_GB2312" w:cs="仿宋_GB2312"/>
          <w:b w:val="0"/>
          <w:bCs w:val="0"/>
          <w:color w:val="000000"/>
          <w:kern w:val="0"/>
          <w:sz w:val="32"/>
          <w:szCs w:val="32"/>
          <w:u w:val="none"/>
          <w:shd w:val="clear" w:fill="FFFFFF"/>
        </w:rPr>
        <w:t>组  长：</w:t>
      </w:r>
      <w:r>
        <w:rPr>
          <w:rFonts w:hint="eastAsia" w:ascii="仿宋_GB2312" w:hAnsi="仿宋" w:eastAsia="仿宋_GB2312" w:cs="仿宋_GB2312"/>
          <w:b w:val="0"/>
          <w:bCs w:val="0"/>
          <w:color w:val="000000"/>
          <w:kern w:val="0"/>
          <w:sz w:val="32"/>
          <w:szCs w:val="32"/>
          <w:u w:val="none"/>
          <w:shd w:val="clear" w:fill="FFFFFF"/>
          <w:lang w:eastAsia="zh-CN"/>
        </w:rPr>
        <w:t>郭</w:t>
      </w:r>
      <w:r>
        <w:rPr>
          <w:rFonts w:hint="eastAsia" w:ascii="仿宋_GB2312" w:hAnsi="仿宋" w:eastAsia="仿宋_GB2312" w:cs="仿宋_GB2312"/>
          <w:b w:val="0"/>
          <w:bCs w:val="0"/>
          <w:color w:val="000000"/>
          <w:kern w:val="0"/>
          <w:sz w:val="32"/>
          <w:szCs w:val="32"/>
          <w:u w:val="none"/>
          <w:shd w:val="clear" w:fill="FFFFFF"/>
          <w:lang w:val="en-US" w:eastAsia="zh-CN"/>
        </w:rPr>
        <w:t xml:space="preserve">  </w:t>
      </w:r>
      <w:r>
        <w:rPr>
          <w:rFonts w:hint="eastAsia" w:ascii="仿宋_GB2312" w:hAnsi="仿宋" w:eastAsia="仿宋_GB2312" w:cs="仿宋_GB2312"/>
          <w:b w:val="0"/>
          <w:bCs w:val="0"/>
          <w:color w:val="000000"/>
          <w:kern w:val="0"/>
          <w:sz w:val="32"/>
          <w:szCs w:val="32"/>
          <w:u w:val="none"/>
          <w:shd w:val="clear" w:fill="FFFFFF"/>
          <w:lang w:eastAsia="zh-CN"/>
        </w:rPr>
        <w:t>淼</w:t>
      </w:r>
    </w:p>
    <w:p w14:paraId="111F8F87">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eastAsia="仿宋_GB2312"/>
          <w:lang w:eastAsia="zh-CN"/>
        </w:rPr>
      </w:pPr>
      <w:r>
        <w:rPr>
          <w:rFonts w:hint="eastAsia" w:ascii="仿宋_GB2312" w:hAnsi="仿宋" w:eastAsia="仿宋_GB2312" w:cs="仿宋_GB2312"/>
          <w:b w:val="0"/>
          <w:bCs w:val="0"/>
          <w:color w:val="000000"/>
          <w:kern w:val="0"/>
          <w:sz w:val="32"/>
          <w:szCs w:val="32"/>
          <w:u w:val="none"/>
          <w:shd w:val="clear" w:fill="FFFFFF"/>
        </w:rPr>
        <w:t>成  员：</w:t>
      </w:r>
      <w:r>
        <w:rPr>
          <w:rFonts w:hint="eastAsia" w:ascii="仿宋_GB2312" w:hAnsi="仿宋" w:eastAsia="仿宋_GB2312" w:cs="仿宋_GB2312"/>
          <w:b w:val="0"/>
          <w:bCs w:val="0"/>
          <w:color w:val="000000"/>
          <w:kern w:val="0"/>
          <w:sz w:val="32"/>
          <w:szCs w:val="32"/>
          <w:u w:val="none"/>
          <w:shd w:val="clear" w:fill="FFFFFF"/>
          <w:lang w:eastAsia="zh-CN"/>
        </w:rPr>
        <w:t>周</w:t>
      </w:r>
      <w:r>
        <w:rPr>
          <w:rFonts w:hint="eastAsia" w:ascii="仿宋_GB2312" w:hAnsi="仿宋" w:eastAsia="仿宋_GB2312" w:cs="仿宋_GB2312"/>
          <w:b w:val="0"/>
          <w:bCs w:val="0"/>
          <w:color w:val="000000"/>
          <w:kern w:val="0"/>
          <w:sz w:val="32"/>
          <w:szCs w:val="32"/>
          <w:u w:val="none"/>
          <w:shd w:val="clear" w:fill="FFFFFF"/>
          <w:lang w:val="en-US" w:eastAsia="zh-CN"/>
        </w:rPr>
        <w:t xml:space="preserve">  </w:t>
      </w:r>
      <w:r>
        <w:rPr>
          <w:rFonts w:hint="eastAsia" w:ascii="仿宋_GB2312" w:hAnsi="仿宋" w:eastAsia="仿宋_GB2312" w:cs="仿宋_GB2312"/>
          <w:b w:val="0"/>
          <w:bCs w:val="0"/>
          <w:color w:val="000000"/>
          <w:kern w:val="0"/>
          <w:sz w:val="32"/>
          <w:szCs w:val="32"/>
          <w:u w:val="none"/>
          <w:shd w:val="clear" w:fill="FFFFFF"/>
          <w:lang w:eastAsia="zh-CN"/>
        </w:rPr>
        <w:t>勇</w:t>
      </w:r>
    </w:p>
    <w:p w14:paraId="03EE2993">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职责任务：负责防汛期间的医疗器械、药品的提供、使用、发放；对伤病人员进行救治；对危重伤员联系（120）施救；会同后勤保障组确保食品、饮水卫生安全；会同有关部门对受灾师生进行精神疏导；组织灾后消毒、防疫。</w:t>
      </w:r>
    </w:p>
    <w:p w14:paraId="7D7169B5">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4.后勤保障组</w:t>
      </w:r>
    </w:p>
    <w:p w14:paraId="6BF2FBF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组  长：</w:t>
      </w:r>
      <w:r>
        <w:rPr>
          <w:rFonts w:hint="eastAsia" w:ascii="仿宋_GB2312" w:hAnsi="仿宋" w:eastAsia="仿宋_GB2312" w:cs="仿宋_GB2312"/>
          <w:b w:val="0"/>
          <w:bCs w:val="0"/>
          <w:color w:val="000000"/>
          <w:kern w:val="0"/>
          <w:sz w:val="32"/>
          <w:szCs w:val="32"/>
          <w:u w:val="none"/>
          <w:shd w:val="clear" w:fill="FFFFFF"/>
          <w:lang w:eastAsia="zh-CN"/>
        </w:rPr>
        <w:t>郭</w:t>
      </w:r>
      <w:r>
        <w:rPr>
          <w:rFonts w:hint="eastAsia" w:ascii="仿宋_GB2312" w:hAnsi="仿宋" w:eastAsia="仿宋_GB2312" w:cs="仿宋_GB2312"/>
          <w:b w:val="0"/>
          <w:bCs w:val="0"/>
          <w:color w:val="000000"/>
          <w:kern w:val="0"/>
          <w:sz w:val="32"/>
          <w:szCs w:val="32"/>
          <w:u w:val="none"/>
          <w:shd w:val="clear" w:fill="FFFFFF"/>
          <w:lang w:val="en-US" w:eastAsia="zh-CN"/>
        </w:rPr>
        <w:t xml:space="preserve">  </w:t>
      </w:r>
      <w:r>
        <w:rPr>
          <w:rFonts w:hint="eastAsia" w:ascii="仿宋_GB2312" w:hAnsi="仿宋" w:eastAsia="仿宋_GB2312" w:cs="仿宋_GB2312"/>
          <w:b w:val="0"/>
          <w:bCs w:val="0"/>
          <w:color w:val="000000"/>
          <w:kern w:val="0"/>
          <w:sz w:val="32"/>
          <w:szCs w:val="32"/>
          <w:u w:val="none"/>
          <w:shd w:val="clear" w:fill="FFFFFF"/>
          <w:lang w:eastAsia="zh-CN"/>
        </w:rPr>
        <w:t>淼</w:t>
      </w:r>
      <w:r>
        <w:rPr>
          <w:rFonts w:hint="eastAsia" w:ascii="仿宋_GB2312" w:hAnsi="仿宋" w:eastAsia="仿宋_GB2312" w:cs="仿宋_GB2312"/>
          <w:b w:val="0"/>
          <w:bCs w:val="0"/>
          <w:color w:val="000000"/>
          <w:kern w:val="0"/>
          <w:sz w:val="32"/>
          <w:szCs w:val="32"/>
          <w:u w:val="none"/>
          <w:shd w:val="clear" w:fill="FFFFFF"/>
        </w:rPr>
        <w:t xml:space="preserve">  </w:t>
      </w:r>
    </w:p>
    <w:p w14:paraId="46B0F6E2">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成  员：</w:t>
      </w:r>
      <w:r>
        <w:rPr>
          <w:rFonts w:hint="eastAsia" w:ascii="仿宋_GB2312" w:hAnsi="仿宋" w:eastAsia="仿宋_GB2312" w:cs="仿宋_GB2312"/>
          <w:b w:val="0"/>
          <w:bCs w:val="0"/>
          <w:color w:val="000000"/>
          <w:kern w:val="0"/>
          <w:sz w:val="32"/>
          <w:szCs w:val="32"/>
          <w:u w:val="none"/>
          <w:shd w:val="clear" w:fill="FFFFFF"/>
          <w:lang w:val="en-US" w:eastAsia="zh-CN"/>
        </w:rPr>
        <w:t>总务处</w:t>
      </w:r>
      <w:r>
        <w:rPr>
          <w:rFonts w:hint="eastAsia" w:ascii="仿宋_GB2312" w:hAnsi="仿宋" w:eastAsia="仿宋_GB2312" w:cs="仿宋_GB2312"/>
          <w:b w:val="0"/>
          <w:bCs w:val="0"/>
          <w:color w:val="000000"/>
          <w:kern w:val="0"/>
          <w:sz w:val="32"/>
          <w:szCs w:val="32"/>
          <w:u w:val="none"/>
          <w:shd w:val="clear" w:fill="FFFFFF"/>
        </w:rPr>
        <w:t>全体员工</w:t>
      </w:r>
    </w:p>
    <w:p w14:paraId="59738A6A">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职责任务：负责防汛物资保障；负责电力、照明设备保障和排水管线疏通、排涝；负责汛期生活用品、食品、饮水安全、储备、发放；负责受灾师生的生活安置；组织商户、在建工程企业的防汛工作；负责学校抢险队救灾工作实施。</w:t>
      </w:r>
    </w:p>
    <w:p w14:paraId="5427741F">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5.通讯联络组</w:t>
      </w:r>
    </w:p>
    <w:p w14:paraId="205BF14E">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组  长：</w:t>
      </w:r>
      <w:r>
        <w:rPr>
          <w:rFonts w:hint="eastAsia" w:ascii="仿宋_GB2312" w:hAnsi="仿宋" w:eastAsia="仿宋_GB2312" w:cs="仿宋_GB2312"/>
          <w:b w:val="0"/>
          <w:bCs w:val="0"/>
          <w:color w:val="000000"/>
          <w:kern w:val="0"/>
          <w:sz w:val="32"/>
          <w:szCs w:val="32"/>
          <w:u w:val="none"/>
          <w:shd w:val="clear" w:fill="FFFFFF"/>
          <w:lang w:eastAsia="zh-CN"/>
        </w:rPr>
        <w:t>高豪远</w:t>
      </w:r>
      <w:r>
        <w:rPr>
          <w:rFonts w:hint="eastAsia" w:ascii="仿宋_GB2312" w:hAnsi="仿宋" w:eastAsia="仿宋_GB2312" w:cs="仿宋_GB2312"/>
          <w:b w:val="0"/>
          <w:bCs w:val="0"/>
          <w:color w:val="000000"/>
          <w:kern w:val="0"/>
          <w:sz w:val="32"/>
          <w:szCs w:val="32"/>
          <w:u w:val="none"/>
          <w:shd w:val="clear" w:fill="FFFFFF"/>
        </w:rPr>
        <w:t xml:space="preserve"> </w:t>
      </w:r>
    </w:p>
    <w:p w14:paraId="31B0389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成  员：宣传部全体员工</w:t>
      </w:r>
    </w:p>
    <w:p w14:paraId="399EFB41">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 xml:space="preserve">职责任务：负责防汛信息发布、报道和通讯联络；动员力量参加抗洪救灾；负责防汛安全的知识普及；归口对外发布相关信息；负责收集、分析、上报相关信息。 </w:t>
      </w:r>
    </w:p>
    <w:p w14:paraId="32005CED">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 xml:space="preserve">6.各单位成立防汛小组，并结合本单位实际制定防汛预案、措施。组长由各单位主要负责人担任。职责任务：执行学校应急处置工作领导小组、防汛指挥部下达的防汛、抢险命令；组织本单位实施防汛抢险和师生疏散；及时上报本单位防汛情况；负责本单位的师生、财产安全。                           </w:t>
      </w:r>
    </w:p>
    <w:p w14:paraId="4B0AB957">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7.学校组建突发防汛事件应急预备队，预备队由学校各单位人员组成。应急预备队要定期进行专业培训。一旦启动预案，立即进入工作状态。应急预备队按照突发防汛事件的具体情况和领导小组的要求动态调整成员组成。(附件)</w:t>
      </w:r>
    </w:p>
    <w:p w14:paraId="4D58D201">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lang w:val="en-US" w:eastAsia="zh-CN"/>
        </w:rPr>
        <w:t xml:space="preserve">第十七条  </w:t>
      </w:r>
      <w:r>
        <w:rPr>
          <w:rFonts w:hint="eastAsia" w:ascii="仿宋_GB2312" w:hAnsi="仿宋" w:eastAsia="仿宋_GB2312" w:cs="仿宋_GB2312"/>
          <w:b w:val="0"/>
          <w:bCs w:val="0"/>
          <w:color w:val="000000"/>
          <w:kern w:val="0"/>
          <w:sz w:val="32"/>
          <w:szCs w:val="32"/>
          <w:u w:val="none"/>
          <w:shd w:val="clear" w:fill="FFFFFF"/>
        </w:rPr>
        <w:t>通信与信息保障</w:t>
      </w:r>
    </w:p>
    <w:p w14:paraId="285EA9DE">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学校要建立健全并落实汛情信息收集、传递、报送、处理等各环节运行机制，建立全系统的汛情信息共享平台。完善信息传输渠道，保持信息传输设施和通讯设备完好，保持通讯方便快捷，确保信息报送渠道的安全畅通。在紧急情况下，利用广播、电视、短信、移动网络等手段发布师生撤离信息，确保师生生命财产安全。</w:t>
      </w:r>
    </w:p>
    <w:p w14:paraId="5048023F">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lang w:val="en-US" w:eastAsia="zh-CN"/>
        </w:rPr>
        <w:t xml:space="preserve">第十八条  </w:t>
      </w:r>
      <w:r>
        <w:rPr>
          <w:rFonts w:hint="eastAsia" w:ascii="仿宋_GB2312" w:hAnsi="仿宋" w:eastAsia="仿宋_GB2312" w:cs="仿宋_GB2312"/>
          <w:b w:val="0"/>
          <w:bCs w:val="0"/>
          <w:color w:val="000000"/>
          <w:kern w:val="0"/>
          <w:sz w:val="32"/>
          <w:szCs w:val="32"/>
          <w:u w:val="none"/>
          <w:shd w:val="clear" w:fill="FFFFFF"/>
        </w:rPr>
        <w:t>监测预报保障</w:t>
      </w:r>
    </w:p>
    <w:p w14:paraId="0D62E86B">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学校要加强与气象、水文、自然资源等部门联系沟通，及时掌握暴雨、洪涝灾害及其相关灾害信息。同时，通过公文办公系统、网站和微信公众号等媒体平台发布提醒。</w:t>
      </w:r>
    </w:p>
    <w:p w14:paraId="77380D47">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lang w:val="en-US" w:eastAsia="zh-CN"/>
        </w:rPr>
        <w:t xml:space="preserve">第十九条  </w:t>
      </w:r>
      <w:r>
        <w:rPr>
          <w:rFonts w:hint="eastAsia" w:ascii="仿宋_GB2312" w:hAnsi="仿宋" w:eastAsia="仿宋_GB2312" w:cs="仿宋_GB2312"/>
          <w:b w:val="0"/>
          <w:bCs w:val="0"/>
          <w:color w:val="000000"/>
          <w:kern w:val="0"/>
          <w:sz w:val="32"/>
          <w:szCs w:val="32"/>
          <w:u w:val="none"/>
          <w:shd w:val="clear" w:fill="FFFFFF"/>
        </w:rPr>
        <w:t>应急资金保障</w:t>
      </w:r>
    </w:p>
    <w:p w14:paraId="178F0D7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学校要把应急经费列入年度预算，确保日常应急演练、宣传、培训、物资保障和检修等所需经费。</w:t>
      </w:r>
    </w:p>
    <w:p w14:paraId="127656D4">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lang w:val="en-US" w:eastAsia="zh-CN"/>
        </w:rPr>
        <w:t xml:space="preserve">第二十条  </w:t>
      </w:r>
      <w:r>
        <w:rPr>
          <w:rFonts w:hint="eastAsia" w:ascii="仿宋_GB2312" w:hAnsi="仿宋" w:eastAsia="仿宋_GB2312" w:cs="仿宋_GB2312"/>
          <w:b w:val="0"/>
          <w:bCs w:val="0"/>
          <w:color w:val="000000"/>
          <w:kern w:val="0"/>
          <w:sz w:val="32"/>
          <w:szCs w:val="32"/>
          <w:u w:val="none"/>
          <w:shd w:val="clear" w:fill="FFFFFF"/>
        </w:rPr>
        <w:t>应急物资保障</w:t>
      </w:r>
    </w:p>
    <w:p w14:paraId="0DD17463">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结合实际储备防汛应急物资，配备救生衣、救生圈、编织袋、沙土、雨衣、应急包、发电机、抽水泵、油料等必要应急设施设备和各类物料。应急物资要存放合理、便捷使用，并由专人保管，保证各类设备、器材的完好和可使用性。</w:t>
      </w:r>
    </w:p>
    <w:p w14:paraId="3C7159E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lang w:val="en-US" w:eastAsia="zh-CN"/>
        </w:rPr>
        <w:t xml:space="preserve">第二十一条  </w:t>
      </w:r>
      <w:r>
        <w:rPr>
          <w:rFonts w:hint="eastAsia" w:ascii="仿宋_GB2312" w:hAnsi="仿宋" w:eastAsia="仿宋_GB2312" w:cs="仿宋_GB2312"/>
          <w:b w:val="0"/>
          <w:bCs w:val="0"/>
          <w:color w:val="000000"/>
          <w:kern w:val="0"/>
          <w:sz w:val="32"/>
          <w:szCs w:val="32"/>
          <w:u w:val="none"/>
          <w:shd w:val="clear" w:fill="FFFFFF"/>
        </w:rPr>
        <w:t>值班值守保障</w:t>
      </w:r>
    </w:p>
    <w:p w14:paraId="70606944">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进入汛期，严格落实三级带班制度，实行24 小时值班。值班人员做好值班记录，及时了解雨情、水情、灾情等。</w:t>
      </w:r>
    </w:p>
    <w:p w14:paraId="1AA2ED00">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lang w:val="en-US" w:eastAsia="zh-CN"/>
        </w:rPr>
        <w:t xml:space="preserve">第二十二条  </w:t>
      </w:r>
      <w:r>
        <w:rPr>
          <w:rFonts w:hint="eastAsia" w:ascii="仿宋_GB2312" w:hAnsi="仿宋" w:eastAsia="仿宋_GB2312" w:cs="仿宋_GB2312"/>
          <w:b w:val="0"/>
          <w:bCs w:val="0"/>
          <w:color w:val="000000"/>
          <w:kern w:val="0"/>
          <w:sz w:val="32"/>
          <w:szCs w:val="32"/>
          <w:u w:val="none"/>
          <w:shd w:val="clear" w:fill="FFFFFF"/>
        </w:rPr>
        <w:t>核查统计保障</w:t>
      </w:r>
    </w:p>
    <w:p w14:paraId="03C1880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 w:eastAsia="仿宋_GB2312" w:cs="仿宋_GB2312"/>
          <w:b w:val="0"/>
          <w:bCs w:val="0"/>
          <w:color w:val="000000"/>
          <w:kern w:val="0"/>
          <w:sz w:val="32"/>
          <w:szCs w:val="32"/>
          <w:u w:val="none"/>
          <w:shd w:val="clear" w:fill="FFFFFF"/>
        </w:rPr>
      </w:pPr>
      <w:r>
        <w:rPr>
          <w:rFonts w:hint="eastAsia" w:ascii="仿宋_GB2312" w:hAnsi="仿宋" w:eastAsia="仿宋_GB2312" w:cs="仿宋_GB2312"/>
          <w:b w:val="0"/>
          <w:bCs w:val="0"/>
          <w:color w:val="000000"/>
          <w:kern w:val="0"/>
          <w:sz w:val="32"/>
          <w:szCs w:val="32"/>
          <w:u w:val="none"/>
          <w:shd w:val="clear" w:fill="FFFFFF"/>
        </w:rPr>
        <w:t>各</w:t>
      </w:r>
      <w:r>
        <w:rPr>
          <w:rFonts w:hint="eastAsia" w:ascii="仿宋_GB2312" w:hAnsi="仿宋" w:eastAsia="仿宋_GB2312" w:cs="仿宋_GB2312"/>
          <w:b w:val="0"/>
          <w:bCs w:val="0"/>
          <w:color w:val="000000"/>
          <w:kern w:val="0"/>
          <w:sz w:val="32"/>
          <w:szCs w:val="32"/>
          <w:u w:val="none"/>
          <w:shd w:val="clear" w:fill="FFFFFF"/>
          <w:lang w:val="en-US" w:eastAsia="zh-CN"/>
        </w:rPr>
        <w:t>单位</w:t>
      </w:r>
      <w:r>
        <w:rPr>
          <w:rFonts w:hint="eastAsia" w:ascii="仿宋_GB2312" w:hAnsi="仿宋" w:eastAsia="仿宋_GB2312" w:cs="仿宋_GB2312"/>
          <w:b w:val="0"/>
          <w:bCs w:val="0"/>
          <w:color w:val="000000"/>
          <w:kern w:val="0"/>
          <w:sz w:val="32"/>
          <w:szCs w:val="32"/>
          <w:u w:val="none"/>
          <w:shd w:val="clear" w:fill="FFFFFF"/>
        </w:rPr>
        <w:t>和学</w:t>
      </w:r>
      <w:r>
        <w:rPr>
          <w:rFonts w:hint="eastAsia" w:ascii="仿宋_GB2312" w:hAnsi="仿宋" w:eastAsia="仿宋_GB2312" w:cs="仿宋_GB2312"/>
          <w:b w:val="0"/>
          <w:bCs w:val="0"/>
          <w:color w:val="000000"/>
          <w:kern w:val="0"/>
          <w:sz w:val="32"/>
          <w:szCs w:val="32"/>
          <w:u w:val="none"/>
          <w:shd w:val="clear" w:fill="FFFFFF"/>
          <w:lang w:eastAsia="zh-CN"/>
        </w:rPr>
        <w:t>院</w:t>
      </w:r>
      <w:r>
        <w:rPr>
          <w:rFonts w:hint="eastAsia" w:ascii="仿宋_GB2312" w:hAnsi="仿宋" w:eastAsia="仿宋_GB2312" w:cs="仿宋_GB2312"/>
          <w:b w:val="0"/>
          <w:bCs w:val="0"/>
          <w:color w:val="000000"/>
          <w:kern w:val="0"/>
          <w:sz w:val="32"/>
          <w:szCs w:val="32"/>
          <w:u w:val="none"/>
          <w:shd w:val="clear" w:fill="FFFFFF"/>
        </w:rPr>
        <w:t>应健全完善灾情数据采集、统计、审核、处理和上报等各环节的规范制度，做到全面统计、不重不漏，确保统计数据质量，严禁统计数据弄虚作假。</w:t>
      </w:r>
    </w:p>
    <w:p w14:paraId="0FC387CB">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 w:eastAsia="仿宋_GB2312" w:cs="仿宋_GB2312"/>
          <w:b w:val="0"/>
          <w:bCs w:val="0"/>
          <w:color w:val="000000"/>
          <w:kern w:val="0"/>
          <w:sz w:val="32"/>
          <w:szCs w:val="32"/>
          <w:u w:val="none"/>
          <w:shd w:val="clear" w:fill="FFFFFF"/>
        </w:rPr>
      </w:pPr>
    </w:p>
    <w:p w14:paraId="29014AF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pPr>
      <w:r>
        <w:rPr>
          <w:rFonts w:hint="eastAsia" w:ascii="黑体" w:hAnsi="宋体" w:eastAsia="黑体" w:cs="黑体"/>
          <w:b w:val="0"/>
          <w:bCs/>
          <w:kern w:val="2"/>
          <w:sz w:val="32"/>
          <w:szCs w:val="32"/>
          <w:u w:val="none"/>
        </w:rPr>
        <w:t>第七章</w:t>
      </w:r>
      <w:r>
        <w:rPr>
          <w:rFonts w:hint="eastAsia" w:ascii="黑体" w:hAnsi="宋体" w:eastAsia="黑体" w:cs="仿宋_GB2312"/>
          <w:b w:val="0"/>
          <w:bCs/>
          <w:kern w:val="2"/>
          <w:sz w:val="32"/>
          <w:szCs w:val="32"/>
          <w:u w:val="none"/>
        </w:rPr>
        <w:t xml:space="preserve">  </w:t>
      </w:r>
      <w:r>
        <w:rPr>
          <w:rFonts w:hint="eastAsia" w:ascii="黑体" w:hAnsi="宋体" w:eastAsia="黑体" w:cs="黑体"/>
          <w:b w:val="0"/>
          <w:bCs/>
          <w:kern w:val="2"/>
          <w:sz w:val="32"/>
          <w:szCs w:val="32"/>
          <w:u w:val="none"/>
        </w:rPr>
        <w:t>后期处置</w:t>
      </w:r>
    </w:p>
    <w:p w14:paraId="2242041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lang w:val="en-US" w:eastAsia="zh-CN"/>
        </w:rPr>
        <w:t xml:space="preserve">第二十三条  </w:t>
      </w:r>
      <w:r>
        <w:rPr>
          <w:rFonts w:hint="eastAsia" w:ascii="仿宋_GB2312" w:hAnsi="仿宋" w:eastAsia="仿宋_GB2312" w:cs="仿宋_GB2312"/>
          <w:b w:val="0"/>
          <w:bCs w:val="0"/>
          <w:color w:val="000000"/>
          <w:kern w:val="0"/>
          <w:sz w:val="32"/>
          <w:szCs w:val="32"/>
          <w:u w:val="none"/>
          <w:shd w:val="clear" w:fill="FFFFFF"/>
        </w:rPr>
        <w:t>恢复教学秩序</w:t>
      </w:r>
    </w:p>
    <w:p w14:paraId="06BE1743">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学校组织力量做好学校环境整治、卫生防疫消杀等工作，尽快修复和更新受损的校园设施设备。及时全面检查水电线路、设备设施安全性能，检查安全管理漏洞，对安全隐患及时补救、防范。力争在最短的时间内恢复学校教学秩序。</w:t>
      </w:r>
    </w:p>
    <w:p w14:paraId="48C2EF57">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lang w:val="en-US" w:eastAsia="zh-CN"/>
        </w:rPr>
        <w:t xml:space="preserve">第二十四条  </w:t>
      </w:r>
      <w:r>
        <w:rPr>
          <w:rFonts w:hint="eastAsia" w:ascii="仿宋_GB2312" w:hAnsi="仿宋" w:eastAsia="仿宋_GB2312" w:cs="仿宋_GB2312"/>
          <w:b w:val="0"/>
          <w:bCs w:val="0"/>
          <w:color w:val="000000"/>
          <w:kern w:val="0"/>
          <w:sz w:val="32"/>
          <w:szCs w:val="32"/>
          <w:u w:val="none"/>
          <w:shd w:val="clear" w:fill="FFFFFF"/>
        </w:rPr>
        <w:t>灾后救助</w:t>
      </w:r>
    </w:p>
    <w:p w14:paraId="49C7AFBD">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pPr>
      <w:r>
        <w:rPr>
          <w:rFonts w:hint="eastAsia" w:ascii="仿宋_GB2312" w:hAnsi="仿宋" w:eastAsia="仿宋_GB2312" w:cs="仿宋_GB2312"/>
          <w:b w:val="0"/>
          <w:bCs w:val="0"/>
          <w:color w:val="000000"/>
          <w:kern w:val="0"/>
          <w:sz w:val="32"/>
          <w:szCs w:val="32"/>
          <w:u w:val="none"/>
          <w:shd w:val="clear" w:fill="FFFFFF"/>
        </w:rPr>
        <w:t>学校对受灾师生员工进行妥善安置和救灾救济，安排好受灾师生员工生活。做好受伤人员的卫生、救助工作，协助做好保险赔付工作。开展贫困学生社会资助工作。</w:t>
      </w:r>
    </w:p>
    <w:p w14:paraId="33C3FE13">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lang w:val="en-US" w:eastAsia="zh-CN"/>
        </w:rPr>
        <w:t xml:space="preserve">第二十五条  </w:t>
      </w:r>
      <w:r>
        <w:rPr>
          <w:rFonts w:hint="eastAsia" w:ascii="仿宋_GB2312" w:hAnsi="仿宋" w:eastAsia="仿宋_GB2312" w:cs="仿宋_GB2312"/>
          <w:b w:val="0"/>
          <w:bCs w:val="0"/>
          <w:color w:val="000000"/>
          <w:kern w:val="0"/>
          <w:sz w:val="32"/>
          <w:szCs w:val="32"/>
          <w:u w:val="none"/>
          <w:shd w:val="clear" w:fill="FFFFFF"/>
        </w:rPr>
        <w:t>灾后重建</w:t>
      </w:r>
    </w:p>
    <w:p w14:paraId="70B8EC5E">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 w:eastAsia="仿宋_GB2312" w:cs="仿宋_GB2312"/>
          <w:b w:val="0"/>
          <w:bCs w:val="0"/>
          <w:color w:val="000000"/>
          <w:kern w:val="0"/>
          <w:sz w:val="32"/>
          <w:szCs w:val="32"/>
          <w:u w:val="none"/>
          <w:shd w:val="clear" w:fill="FFFFFF"/>
        </w:rPr>
      </w:pPr>
      <w:r>
        <w:rPr>
          <w:rFonts w:hint="eastAsia" w:ascii="仿宋_GB2312" w:hAnsi="仿宋" w:eastAsia="仿宋_GB2312" w:cs="仿宋_GB2312"/>
          <w:b w:val="0"/>
          <w:bCs w:val="0"/>
          <w:color w:val="000000"/>
          <w:kern w:val="0"/>
          <w:sz w:val="32"/>
          <w:szCs w:val="32"/>
          <w:u w:val="none"/>
          <w:shd w:val="clear" w:fill="FFFFFF"/>
        </w:rPr>
        <w:t>学校根据灾情核查、评估结果，制定恢复重建任务、目标、政策、规划、资金、检查落实等工作方案。</w:t>
      </w:r>
    </w:p>
    <w:p w14:paraId="4ED2B054">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 w:eastAsia="仿宋_GB2312" w:cs="仿宋_GB2312"/>
          <w:b w:val="0"/>
          <w:bCs w:val="0"/>
          <w:color w:val="000000"/>
          <w:kern w:val="0"/>
          <w:sz w:val="32"/>
          <w:szCs w:val="32"/>
          <w:u w:val="none"/>
          <w:shd w:val="clear" w:fill="FFFFFF"/>
        </w:rPr>
      </w:pPr>
    </w:p>
    <w:p w14:paraId="38C07D56">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pPr>
      <w:r>
        <w:rPr>
          <w:rFonts w:hint="eastAsia" w:ascii="黑体" w:hAnsi="宋体" w:eastAsia="黑体" w:cs="黑体"/>
          <w:b w:val="0"/>
          <w:bCs w:val="0"/>
          <w:color w:val="000000"/>
          <w:kern w:val="0"/>
          <w:sz w:val="32"/>
          <w:szCs w:val="32"/>
          <w:u w:val="none"/>
          <w:shd w:val="clear" w:fill="FFFFFF"/>
        </w:rPr>
        <w:t>第八章  责任与奖惩</w:t>
      </w:r>
    </w:p>
    <w:p w14:paraId="3E6CE0AA">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hint="eastAsia" w:ascii="仿宋_GB2312" w:hAnsi="仿宋" w:eastAsia="仿宋_GB2312" w:cs="仿宋_GB2312"/>
          <w:b w:val="0"/>
          <w:bCs w:val="0"/>
          <w:color w:val="000000"/>
          <w:kern w:val="0"/>
          <w:sz w:val="32"/>
          <w:szCs w:val="32"/>
          <w:u w:val="none"/>
          <w:shd w:val="clear" w:fill="FFFFFF"/>
        </w:rPr>
      </w:pPr>
      <w:r>
        <w:rPr>
          <w:rStyle w:val="5"/>
          <w:rFonts w:hint="eastAsia" w:ascii="楷体_GB2312" w:hAnsi="楷体_GB2312" w:eastAsia="楷体_GB2312" w:cs="楷体_GB2312"/>
          <w:b/>
          <w:bCs w:val="0"/>
          <w:color w:val="000000"/>
          <w:kern w:val="0"/>
          <w:sz w:val="32"/>
          <w:szCs w:val="32"/>
          <w:u w:val="none"/>
          <w:shd w:val="clear" w:fill="FFFFFF"/>
          <w:lang w:val="en-US" w:eastAsia="zh-CN"/>
        </w:rPr>
        <w:t xml:space="preserve">第二十六条  </w:t>
      </w:r>
      <w:r>
        <w:rPr>
          <w:rFonts w:hint="eastAsia" w:ascii="仿宋_GB2312" w:hAnsi="仿宋" w:eastAsia="仿宋_GB2312" w:cs="仿宋_GB2312"/>
          <w:b w:val="0"/>
          <w:bCs w:val="0"/>
          <w:color w:val="000000"/>
          <w:kern w:val="0"/>
          <w:sz w:val="32"/>
          <w:szCs w:val="32"/>
          <w:u w:val="none"/>
          <w:shd w:val="clear" w:fill="FFFFFF"/>
        </w:rPr>
        <w:t>在突发事件处置或恢复重建工作中有失职、渎职行为或处置不力造成严重后果的，按照学校党政有关规定追究责任。</w:t>
      </w:r>
    </w:p>
    <w:p w14:paraId="7F4DA377">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 w:eastAsia="仿宋_GB2312" w:cs="仿宋_GB2312"/>
          <w:b w:val="0"/>
          <w:bCs w:val="0"/>
          <w:color w:val="000000"/>
          <w:kern w:val="0"/>
          <w:sz w:val="32"/>
          <w:szCs w:val="32"/>
          <w:u w:val="none"/>
          <w:shd w:val="clear" w:fill="FFFFFF"/>
        </w:rPr>
      </w:pPr>
    </w:p>
    <w:p w14:paraId="39DD1B81">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pPr>
      <w:r>
        <w:rPr>
          <w:rFonts w:hint="eastAsia" w:ascii="黑体" w:hAnsi="宋体" w:eastAsia="黑体" w:cs="黑体"/>
          <w:b w:val="0"/>
          <w:bCs w:val="0"/>
          <w:color w:val="000000"/>
          <w:kern w:val="0"/>
          <w:sz w:val="32"/>
          <w:szCs w:val="32"/>
          <w:u w:val="none"/>
          <w:shd w:val="clear" w:fill="FFFFFF"/>
        </w:rPr>
        <w:t>第九章 附 则</w:t>
      </w:r>
    </w:p>
    <w:p w14:paraId="0B995F56">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pPr>
      <w:r>
        <w:rPr>
          <w:rStyle w:val="5"/>
          <w:rFonts w:hint="eastAsia" w:ascii="楷体_GB2312" w:hAnsi="楷体_GB2312" w:eastAsia="楷体_GB2312" w:cs="楷体_GB2312"/>
          <w:b/>
          <w:bCs w:val="0"/>
          <w:color w:val="000000"/>
          <w:kern w:val="0"/>
          <w:sz w:val="32"/>
          <w:szCs w:val="32"/>
          <w:u w:val="none"/>
          <w:shd w:val="clear" w:fill="FFFFFF"/>
          <w:lang w:val="en-US" w:eastAsia="zh-CN"/>
        </w:rPr>
        <w:t xml:space="preserve">第二十七条  </w:t>
      </w:r>
      <w:r>
        <w:rPr>
          <w:rFonts w:hint="eastAsia" w:ascii="仿宋_GB2312" w:hAnsi="仿宋" w:eastAsia="仿宋_GB2312" w:cs="仿宋_GB2312"/>
          <w:b w:val="0"/>
          <w:bCs w:val="0"/>
          <w:color w:val="000000"/>
          <w:kern w:val="0"/>
          <w:sz w:val="32"/>
          <w:szCs w:val="32"/>
          <w:u w:val="none"/>
          <w:shd w:val="clear" w:fill="FFFFFF"/>
        </w:rPr>
        <w:t>本预案自发布之日起实施</w:t>
      </w:r>
      <w:r>
        <w:rPr>
          <w:rFonts w:hint="eastAsia" w:ascii="仿宋_GB2312" w:hAnsi="仿宋" w:eastAsia="仿宋_GB2312" w:cs="仿宋_GB2312"/>
          <w:b w:val="0"/>
          <w:bCs w:val="0"/>
          <w:color w:val="000000"/>
          <w:kern w:val="0"/>
          <w:sz w:val="32"/>
          <w:szCs w:val="32"/>
          <w:u w:val="none"/>
          <w:shd w:val="clear" w:fill="FFFFFF"/>
          <w:lang w:eastAsia="zh-CN"/>
        </w:rPr>
        <w:t>，</w:t>
      </w:r>
      <w:r>
        <w:rPr>
          <w:rFonts w:hint="eastAsia" w:ascii="仿宋_GB2312" w:hAnsi="仿宋" w:eastAsia="仿宋_GB2312" w:cs="仿宋_GB2312"/>
          <w:b w:val="0"/>
          <w:bCs w:val="0"/>
          <w:color w:val="000000"/>
          <w:kern w:val="0"/>
          <w:sz w:val="32"/>
          <w:szCs w:val="32"/>
          <w:u w:val="none"/>
          <w:shd w:val="clear" w:fill="FFFFFF"/>
        </w:rPr>
        <w:t>由</w:t>
      </w:r>
      <w:r>
        <w:rPr>
          <w:rFonts w:hint="eastAsia" w:ascii="仿宋_GB2312" w:hAnsi="仿宋" w:eastAsia="仿宋_GB2312" w:cs="仿宋_GB2312"/>
          <w:b w:val="0"/>
          <w:bCs w:val="0"/>
          <w:color w:val="000000"/>
          <w:kern w:val="0"/>
          <w:sz w:val="32"/>
          <w:szCs w:val="32"/>
          <w:u w:val="none"/>
          <w:shd w:val="clear" w:fill="FFFFFF"/>
          <w:lang w:eastAsia="zh-CN"/>
        </w:rPr>
        <w:t>保卫</w:t>
      </w:r>
      <w:r>
        <w:rPr>
          <w:rFonts w:hint="eastAsia" w:ascii="仿宋_GB2312" w:hAnsi="仿宋" w:eastAsia="仿宋_GB2312" w:cs="仿宋_GB2312"/>
          <w:b w:val="0"/>
          <w:bCs w:val="0"/>
          <w:color w:val="000000"/>
          <w:kern w:val="0"/>
          <w:sz w:val="32"/>
          <w:szCs w:val="32"/>
          <w:u w:val="none"/>
          <w:shd w:val="clear" w:fill="FFFFFF"/>
        </w:rPr>
        <w:t>处负责解释。</w:t>
      </w:r>
    </w:p>
    <w:p w14:paraId="3D2FEE77">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 w:eastAsia="仿宋_GB2312" w:cs="仿宋_GB2312"/>
          <w:b w:val="0"/>
          <w:bCs w:val="0"/>
          <w:color w:val="000000"/>
          <w:kern w:val="0"/>
          <w:sz w:val="32"/>
          <w:szCs w:val="32"/>
          <w:u w:val="none"/>
          <w:shd w:val="clear" w:fill="FFFFFF"/>
        </w:rPr>
      </w:pPr>
    </w:p>
    <w:p w14:paraId="099AD7A9">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 w:eastAsia="仿宋_GB2312" w:cs="仿宋_GB2312"/>
          <w:b w:val="0"/>
          <w:bCs w:val="0"/>
          <w:color w:val="000000"/>
          <w:kern w:val="0"/>
          <w:sz w:val="32"/>
          <w:szCs w:val="32"/>
          <w:u w:val="none"/>
          <w:shd w:val="clear" w:fill="FFFFFF"/>
          <w:lang w:val="en-US" w:eastAsia="zh-CN"/>
        </w:rPr>
      </w:pPr>
      <w:r>
        <w:rPr>
          <w:rFonts w:hint="eastAsia" w:ascii="仿宋_GB2312" w:hAnsi="仿宋" w:eastAsia="仿宋_GB2312" w:cs="仿宋_GB2312"/>
          <w:b w:val="0"/>
          <w:bCs w:val="0"/>
          <w:color w:val="000000"/>
          <w:kern w:val="0"/>
          <w:sz w:val="32"/>
          <w:szCs w:val="32"/>
          <w:u w:val="none"/>
          <w:shd w:val="clear" w:fill="FFFFFF"/>
          <w:lang w:val="en-US" w:eastAsia="zh-CN"/>
        </w:rPr>
        <w:t>附件：许昌陶瓷职业学院防汛应急预备队</w:t>
      </w:r>
    </w:p>
    <w:p w14:paraId="3693C097">
      <w:pPr>
        <w:pStyle w:val="2"/>
        <w:keepNext w:val="0"/>
        <w:keepLines w:val="0"/>
        <w:widowControl/>
        <w:suppressLineNumbers w:val="0"/>
        <w:spacing w:line="315" w:lineRule="atLeast"/>
        <w:jc w:val="both"/>
        <w:rPr>
          <w:rFonts w:hint="eastAsia" w:ascii="黑体" w:hAnsi="黑体" w:eastAsia="黑体" w:cs="黑体"/>
          <w:b w:val="0"/>
          <w:bCs/>
          <w:color w:val="000000"/>
          <w:kern w:val="2"/>
          <w:sz w:val="32"/>
          <w:szCs w:val="32"/>
          <w:u w:val="none"/>
          <w:lang w:eastAsia="zh-CN"/>
        </w:rPr>
      </w:pPr>
      <w:r>
        <w:rPr>
          <w:rFonts w:hint="eastAsia" w:ascii="黑体" w:hAnsi="黑体" w:eastAsia="黑体" w:cs="黑体"/>
          <w:b w:val="0"/>
          <w:bCs/>
          <w:color w:val="000000"/>
          <w:kern w:val="2"/>
          <w:sz w:val="32"/>
          <w:szCs w:val="32"/>
          <w:u w:val="none"/>
          <w:lang w:eastAsia="zh-CN"/>
        </w:rPr>
        <w:t>附件</w:t>
      </w:r>
    </w:p>
    <w:p w14:paraId="23279628">
      <w:pPr>
        <w:pStyle w:val="2"/>
        <w:keepNext w:val="0"/>
        <w:keepLines w:val="0"/>
        <w:widowControl/>
        <w:suppressLineNumbers w:val="0"/>
        <w:spacing w:line="315" w:lineRule="atLeast"/>
        <w:jc w:val="center"/>
        <w:rPr>
          <w:sz w:val="44"/>
          <w:szCs w:val="44"/>
        </w:rPr>
      </w:pPr>
      <w:r>
        <w:rPr>
          <w:rFonts w:hint="eastAsia" w:ascii="方正小标宋简体" w:hAnsi="方正小标宋简体" w:eastAsia="方正小标宋简体" w:cs="方正小标宋简体"/>
          <w:b w:val="0"/>
          <w:bCs/>
          <w:color w:val="000000"/>
          <w:kern w:val="2"/>
          <w:sz w:val="44"/>
          <w:szCs w:val="44"/>
          <w:u w:val="none"/>
          <w:lang w:eastAsia="zh-CN"/>
        </w:rPr>
        <w:t>许昌陶瓷职业</w:t>
      </w:r>
      <w:r>
        <w:rPr>
          <w:rFonts w:ascii="方正小标宋简体" w:hAnsi="方正小标宋简体" w:eastAsia="方正小标宋简体" w:cs="方正小标宋简体"/>
          <w:b w:val="0"/>
          <w:bCs/>
          <w:color w:val="000000"/>
          <w:kern w:val="2"/>
          <w:sz w:val="44"/>
          <w:szCs w:val="44"/>
          <w:u w:val="none"/>
        </w:rPr>
        <w:t>学院防汛应急预备队</w:t>
      </w:r>
      <w:r>
        <w:rPr>
          <w:rStyle w:val="5"/>
          <w:rFonts w:hint="eastAsia" w:ascii="Times New Roman" w:hAnsi="宋体" w:eastAsia="宋体" w:cs="宋体"/>
          <w:b/>
          <w:bCs w:val="0"/>
          <w:color w:val="000000"/>
          <w:kern w:val="2"/>
          <w:sz w:val="44"/>
          <w:szCs w:val="44"/>
          <w:u w:val="none"/>
        </w:rPr>
        <w:t xml:space="preserve"> </w:t>
      </w:r>
    </w:p>
    <w:tbl>
      <w:tblPr>
        <w:tblStyle w:val="3"/>
        <w:tblW w:w="9720" w:type="dxa"/>
        <w:tblInd w:w="-576"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1074"/>
        <w:gridCol w:w="1539"/>
        <w:gridCol w:w="672"/>
        <w:gridCol w:w="1443"/>
        <w:gridCol w:w="915"/>
        <w:gridCol w:w="1560"/>
        <w:gridCol w:w="855"/>
        <w:gridCol w:w="1662"/>
      </w:tblGrid>
      <w:tr w14:paraId="2D6EA350">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54" w:hRule="atLeast"/>
        </w:trPr>
        <w:tc>
          <w:tcPr>
            <w:tcW w:w="9720"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03ED204F">
            <w:pPr>
              <w:pStyle w:val="2"/>
              <w:keepNext w:val="0"/>
              <w:keepLines w:val="0"/>
              <w:widowControl/>
              <w:suppressLineNumbers w:val="0"/>
              <w:spacing w:line="315" w:lineRule="atLeast"/>
              <w:jc w:val="center"/>
              <w:rPr>
                <w:rFonts w:hint="eastAsia" w:eastAsia="宋体"/>
                <w:lang w:eastAsia="zh-CN"/>
              </w:rPr>
            </w:pPr>
            <w:r>
              <w:rPr>
                <w:rStyle w:val="5"/>
                <w:rFonts w:hint="eastAsia" w:ascii="宋体" w:hAnsi="宋体" w:eastAsia="宋体" w:cs="宋体"/>
                <w:b/>
                <w:bCs w:val="0"/>
                <w:kern w:val="2"/>
                <w:sz w:val="28"/>
                <w:szCs w:val="28"/>
                <w:u w:val="none"/>
                <w:lang w:eastAsia="zh-CN"/>
              </w:rPr>
              <w:t>应急预备队</w:t>
            </w:r>
            <w:r>
              <w:rPr>
                <w:rStyle w:val="5"/>
                <w:rFonts w:hint="default" w:ascii="Times New Roman" w:hAnsi="Times New Roman" w:eastAsia="宋体" w:cs="Times New Roman"/>
                <w:b/>
                <w:bCs w:val="0"/>
                <w:kern w:val="2"/>
                <w:sz w:val="28"/>
                <w:szCs w:val="28"/>
                <w:u w:val="none"/>
              </w:rPr>
              <w:t>(</w:t>
            </w:r>
            <w:r>
              <w:rPr>
                <w:rStyle w:val="5"/>
                <w:rFonts w:hint="eastAsia" w:ascii="Times New Roman" w:hAnsi="Times New Roman" w:eastAsia="宋体" w:cs="Times New Roman"/>
                <w:b/>
                <w:bCs w:val="0"/>
                <w:kern w:val="2"/>
                <w:sz w:val="28"/>
                <w:szCs w:val="28"/>
                <w:u w:val="none"/>
                <w:lang w:val="en-US" w:eastAsia="zh-CN"/>
              </w:rPr>
              <w:t>58</w:t>
            </w:r>
            <w:r>
              <w:rPr>
                <w:rStyle w:val="5"/>
                <w:rFonts w:hint="eastAsia" w:ascii="宋体" w:hAnsi="宋体" w:eastAsia="宋体" w:cs="宋体"/>
                <w:b/>
                <w:bCs w:val="0"/>
                <w:kern w:val="2"/>
                <w:sz w:val="28"/>
                <w:szCs w:val="28"/>
                <w:u w:val="none"/>
              </w:rPr>
              <w:t>人</w:t>
            </w:r>
            <w:r>
              <w:rPr>
                <w:rStyle w:val="5"/>
                <w:rFonts w:hint="default" w:ascii="Times New Roman" w:hAnsi="Times New Roman" w:eastAsia="宋体" w:cs="Times New Roman"/>
                <w:b/>
                <w:bCs w:val="0"/>
                <w:kern w:val="2"/>
                <w:sz w:val="28"/>
                <w:szCs w:val="28"/>
                <w:u w:val="none"/>
              </w:rPr>
              <w:t xml:space="preserve">)  </w:t>
            </w:r>
            <w:r>
              <w:rPr>
                <w:rStyle w:val="5"/>
                <w:rFonts w:hint="eastAsia" w:ascii="宋体" w:hAnsi="宋体" w:eastAsia="宋体" w:cs="宋体"/>
                <w:b/>
                <w:bCs w:val="0"/>
                <w:kern w:val="2"/>
                <w:sz w:val="28"/>
                <w:szCs w:val="28"/>
                <w:u w:val="none"/>
              </w:rPr>
              <w:t>校领导：</w:t>
            </w:r>
            <w:r>
              <w:rPr>
                <w:rStyle w:val="5"/>
                <w:rFonts w:hint="eastAsia" w:ascii="宋体" w:hAnsi="宋体" w:eastAsia="宋体" w:cs="宋体"/>
                <w:b/>
                <w:bCs w:val="0"/>
                <w:kern w:val="2"/>
                <w:sz w:val="28"/>
                <w:szCs w:val="28"/>
                <w:u w:val="none"/>
                <w:lang w:eastAsia="zh-CN"/>
              </w:rPr>
              <w:t>肖绍俊</w:t>
            </w:r>
            <w:r>
              <w:rPr>
                <w:rStyle w:val="5"/>
                <w:rFonts w:hint="eastAsia" w:ascii="宋体" w:hAnsi="宋体" w:eastAsia="宋体" w:cs="宋体"/>
                <w:b/>
                <w:bCs w:val="0"/>
                <w:kern w:val="2"/>
                <w:sz w:val="28"/>
                <w:szCs w:val="28"/>
                <w:u w:val="none"/>
                <w:lang w:val="en-US" w:eastAsia="zh-CN"/>
              </w:rPr>
              <w:t xml:space="preserve"> 张长力 王中亚 郭磊</w:t>
            </w:r>
          </w:p>
        </w:tc>
      </w:tr>
      <w:tr w14:paraId="5AFC8849">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148" w:hRule="atLeast"/>
        </w:trPr>
        <w:tc>
          <w:tcPr>
            <w:tcW w:w="1074" w:type="dxa"/>
            <w:tcBorders>
              <w:top w:val="nil"/>
              <w:left w:val="single" w:color="000000" w:sz="8" w:space="0"/>
              <w:bottom w:val="single" w:color="000000" w:sz="8" w:space="0"/>
              <w:right w:val="single" w:color="000000" w:sz="8" w:space="0"/>
            </w:tcBorders>
            <w:shd w:val="clear" w:color="auto" w:fill="auto"/>
            <w:vAlign w:val="center"/>
          </w:tcPr>
          <w:p w14:paraId="25E72F8C">
            <w:pPr>
              <w:pStyle w:val="2"/>
              <w:keepNext w:val="0"/>
              <w:keepLines w:val="0"/>
              <w:widowControl/>
              <w:suppressLineNumbers w:val="0"/>
              <w:spacing w:line="315" w:lineRule="atLeast"/>
              <w:jc w:val="center"/>
            </w:pPr>
            <w:r>
              <w:rPr>
                <w:rStyle w:val="5"/>
                <w:rFonts w:ascii="仿宋" w:hAnsi="仿宋" w:eastAsia="仿宋" w:cs="仿宋"/>
                <w:b/>
                <w:bCs/>
                <w:color w:val="000000"/>
                <w:kern w:val="0"/>
                <w:sz w:val="21"/>
                <w:szCs w:val="21"/>
                <w:u w:val="none"/>
              </w:rPr>
              <w:t>分队</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835E2">
            <w:pPr>
              <w:pStyle w:val="2"/>
              <w:keepNext w:val="0"/>
              <w:keepLines w:val="0"/>
              <w:widowControl/>
              <w:suppressLineNumbers w:val="0"/>
              <w:spacing w:line="315" w:lineRule="atLeast"/>
              <w:jc w:val="center"/>
            </w:pPr>
            <w:r>
              <w:rPr>
                <w:rStyle w:val="5"/>
                <w:rFonts w:hint="eastAsia" w:ascii="仿宋" w:hAnsi="仿宋" w:eastAsia="仿宋" w:cs="仿宋"/>
                <w:b/>
                <w:bCs/>
                <w:color w:val="000000"/>
                <w:kern w:val="0"/>
                <w:sz w:val="21"/>
                <w:szCs w:val="21"/>
                <w:u w:val="none"/>
              </w:rPr>
              <w:t>部门</w:t>
            </w:r>
          </w:p>
        </w:tc>
        <w:tc>
          <w:tcPr>
            <w:tcW w:w="6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6D7F5">
            <w:pPr>
              <w:pStyle w:val="2"/>
              <w:keepNext w:val="0"/>
              <w:keepLines w:val="0"/>
              <w:widowControl/>
              <w:suppressLineNumbers w:val="0"/>
              <w:spacing w:line="315" w:lineRule="atLeast"/>
              <w:jc w:val="center"/>
            </w:pPr>
            <w:r>
              <w:rPr>
                <w:rStyle w:val="5"/>
                <w:rFonts w:hint="eastAsia" w:ascii="仿宋" w:hAnsi="仿宋" w:eastAsia="仿宋" w:cs="仿宋"/>
                <w:b/>
                <w:bCs/>
                <w:color w:val="000000"/>
                <w:kern w:val="0"/>
                <w:sz w:val="21"/>
                <w:szCs w:val="21"/>
                <w:u w:val="none"/>
              </w:rPr>
              <w:t>人员</w:t>
            </w:r>
          </w:p>
          <w:p w14:paraId="2F221494">
            <w:pPr>
              <w:pStyle w:val="2"/>
              <w:keepNext w:val="0"/>
              <w:keepLines w:val="0"/>
              <w:widowControl/>
              <w:suppressLineNumbers w:val="0"/>
              <w:spacing w:line="315" w:lineRule="atLeast"/>
              <w:jc w:val="center"/>
            </w:pPr>
            <w:r>
              <w:rPr>
                <w:rStyle w:val="5"/>
                <w:rFonts w:hint="eastAsia" w:ascii="仿宋" w:hAnsi="仿宋" w:eastAsia="仿宋" w:cs="仿宋"/>
                <w:b/>
                <w:bCs/>
                <w:color w:val="000000"/>
                <w:kern w:val="0"/>
                <w:sz w:val="21"/>
                <w:szCs w:val="21"/>
                <w:u w:val="none"/>
              </w:rPr>
              <w:t>数量</w:t>
            </w:r>
          </w:p>
        </w:tc>
        <w:tc>
          <w:tcPr>
            <w:tcW w:w="14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1232F">
            <w:pPr>
              <w:pStyle w:val="2"/>
              <w:keepNext w:val="0"/>
              <w:keepLines w:val="0"/>
              <w:widowControl/>
              <w:suppressLineNumbers w:val="0"/>
              <w:spacing w:line="315" w:lineRule="atLeast"/>
              <w:jc w:val="center"/>
            </w:pPr>
            <w:r>
              <w:rPr>
                <w:rStyle w:val="5"/>
                <w:rFonts w:hint="eastAsia" w:ascii="仿宋" w:hAnsi="仿宋" w:eastAsia="仿宋" w:cs="仿宋"/>
                <w:b/>
                <w:bCs/>
                <w:color w:val="000000"/>
                <w:kern w:val="0"/>
                <w:sz w:val="21"/>
                <w:szCs w:val="21"/>
                <w:u w:val="none"/>
              </w:rPr>
              <w:t>备注</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D1288">
            <w:pPr>
              <w:pStyle w:val="2"/>
              <w:keepNext w:val="0"/>
              <w:keepLines w:val="0"/>
              <w:widowControl/>
              <w:suppressLineNumbers w:val="0"/>
              <w:spacing w:line="315" w:lineRule="atLeast"/>
              <w:jc w:val="center"/>
            </w:pPr>
            <w:r>
              <w:rPr>
                <w:rStyle w:val="5"/>
                <w:rFonts w:hint="eastAsia" w:ascii="仿宋" w:hAnsi="仿宋" w:eastAsia="仿宋" w:cs="仿宋"/>
                <w:b/>
                <w:bCs/>
                <w:color w:val="000000"/>
                <w:kern w:val="0"/>
                <w:sz w:val="21"/>
                <w:szCs w:val="21"/>
                <w:u w:val="none"/>
              </w:rPr>
              <w:t>分队</w:t>
            </w:r>
          </w:p>
        </w:tc>
        <w:tc>
          <w:tcPr>
            <w:tcW w:w="15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9A533">
            <w:pPr>
              <w:pStyle w:val="2"/>
              <w:keepNext w:val="0"/>
              <w:keepLines w:val="0"/>
              <w:widowControl/>
              <w:suppressLineNumbers w:val="0"/>
              <w:spacing w:line="315" w:lineRule="atLeast"/>
              <w:jc w:val="center"/>
            </w:pPr>
            <w:r>
              <w:rPr>
                <w:rStyle w:val="5"/>
                <w:rFonts w:hint="eastAsia" w:ascii="仿宋" w:hAnsi="仿宋" w:eastAsia="仿宋" w:cs="仿宋"/>
                <w:b/>
                <w:bCs/>
                <w:color w:val="000000"/>
                <w:kern w:val="0"/>
                <w:sz w:val="21"/>
                <w:szCs w:val="21"/>
                <w:u w:val="none"/>
              </w:rPr>
              <w:t>部门</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FF81D">
            <w:pPr>
              <w:pStyle w:val="2"/>
              <w:keepNext w:val="0"/>
              <w:keepLines w:val="0"/>
              <w:widowControl/>
              <w:suppressLineNumbers w:val="0"/>
              <w:spacing w:line="315" w:lineRule="atLeast"/>
              <w:jc w:val="center"/>
            </w:pPr>
            <w:r>
              <w:rPr>
                <w:rStyle w:val="5"/>
                <w:rFonts w:hint="eastAsia" w:ascii="仿宋" w:hAnsi="仿宋" w:eastAsia="仿宋" w:cs="仿宋"/>
                <w:b/>
                <w:bCs/>
                <w:color w:val="000000"/>
                <w:kern w:val="0"/>
                <w:sz w:val="21"/>
                <w:szCs w:val="21"/>
                <w:u w:val="none"/>
              </w:rPr>
              <w:t>人员</w:t>
            </w:r>
          </w:p>
          <w:p w14:paraId="30E1E321">
            <w:pPr>
              <w:pStyle w:val="2"/>
              <w:keepNext w:val="0"/>
              <w:keepLines w:val="0"/>
              <w:widowControl/>
              <w:suppressLineNumbers w:val="0"/>
              <w:spacing w:line="315" w:lineRule="atLeast"/>
              <w:jc w:val="center"/>
            </w:pPr>
            <w:r>
              <w:rPr>
                <w:rStyle w:val="5"/>
                <w:rFonts w:hint="eastAsia" w:ascii="仿宋" w:hAnsi="仿宋" w:eastAsia="仿宋" w:cs="仿宋"/>
                <w:b/>
                <w:bCs/>
                <w:color w:val="000000"/>
                <w:kern w:val="0"/>
                <w:sz w:val="21"/>
                <w:szCs w:val="21"/>
                <w:u w:val="none"/>
              </w:rPr>
              <w:t>数量</w:t>
            </w:r>
          </w:p>
        </w:tc>
        <w:tc>
          <w:tcPr>
            <w:tcW w:w="16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EDDFF">
            <w:pPr>
              <w:pStyle w:val="2"/>
              <w:keepNext w:val="0"/>
              <w:keepLines w:val="0"/>
              <w:widowControl/>
              <w:suppressLineNumbers w:val="0"/>
              <w:spacing w:line="315" w:lineRule="atLeast"/>
              <w:jc w:val="center"/>
            </w:pPr>
            <w:r>
              <w:rPr>
                <w:rStyle w:val="5"/>
                <w:rFonts w:hint="eastAsia" w:ascii="仿宋" w:hAnsi="仿宋" w:eastAsia="仿宋" w:cs="仿宋"/>
                <w:b/>
                <w:bCs/>
                <w:color w:val="000000"/>
                <w:kern w:val="0"/>
                <w:sz w:val="21"/>
                <w:szCs w:val="21"/>
                <w:u w:val="none"/>
              </w:rPr>
              <w:t>备注</w:t>
            </w:r>
          </w:p>
        </w:tc>
      </w:tr>
      <w:tr w14:paraId="59893673">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trPr>
        <w:tc>
          <w:tcPr>
            <w:tcW w:w="1074" w:type="dxa"/>
            <w:vMerge w:val="restart"/>
            <w:tcBorders>
              <w:top w:val="nil"/>
              <w:left w:val="single" w:color="000000" w:sz="8" w:space="0"/>
              <w:bottom w:val="single" w:color="000000" w:sz="8" w:space="0"/>
              <w:right w:val="single" w:color="000000" w:sz="8" w:space="0"/>
            </w:tcBorders>
            <w:shd w:val="clear" w:color="auto" w:fill="auto"/>
            <w:vAlign w:val="center"/>
          </w:tcPr>
          <w:p w14:paraId="3CA32555">
            <w:pPr>
              <w:pStyle w:val="2"/>
              <w:keepNext w:val="0"/>
              <w:keepLines w:val="0"/>
              <w:widowControl/>
              <w:suppressLineNumbers w:val="0"/>
              <w:spacing w:line="315" w:lineRule="atLeast"/>
              <w:jc w:val="center"/>
            </w:pPr>
            <w:r>
              <w:rPr>
                <w:rStyle w:val="5"/>
                <w:rFonts w:hint="eastAsia" w:ascii="仿宋" w:hAnsi="仿宋" w:eastAsia="仿宋" w:cs="仿宋"/>
                <w:b/>
                <w:bCs/>
                <w:color w:val="000000"/>
                <w:kern w:val="0"/>
                <w:sz w:val="21"/>
                <w:szCs w:val="21"/>
                <w:u w:val="none"/>
              </w:rPr>
              <w:t>第一队</w:t>
            </w:r>
          </w:p>
          <w:p w14:paraId="03096AA7">
            <w:pPr>
              <w:pStyle w:val="2"/>
              <w:keepNext w:val="0"/>
              <w:keepLines w:val="0"/>
              <w:widowControl/>
              <w:suppressLineNumbers w:val="0"/>
              <w:spacing w:line="315" w:lineRule="atLeast"/>
              <w:jc w:val="center"/>
            </w:pPr>
            <w:r>
              <w:rPr>
                <w:rStyle w:val="5"/>
                <w:rFonts w:hint="eastAsia" w:ascii="仿宋" w:hAnsi="仿宋" w:eastAsia="仿宋" w:cs="仿宋"/>
                <w:b/>
                <w:bCs/>
                <w:color w:val="000000"/>
                <w:kern w:val="0"/>
                <w:sz w:val="21"/>
                <w:szCs w:val="21"/>
                <w:u w:val="none"/>
                <w:lang w:val="en-US" w:eastAsia="zh-CN"/>
              </w:rPr>
              <w:t>27</w:t>
            </w:r>
            <w:r>
              <w:rPr>
                <w:rStyle w:val="5"/>
                <w:rFonts w:hint="eastAsia" w:ascii="仿宋" w:hAnsi="仿宋" w:eastAsia="仿宋" w:cs="仿宋"/>
                <w:b/>
                <w:bCs/>
                <w:color w:val="000000"/>
                <w:kern w:val="0"/>
                <w:sz w:val="21"/>
                <w:szCs w:val="21"/>
                <w:u w:val="none"/>
              </w:rPr>
              <w:t>人</w:t>
            </w:r>
          </w:p>
        </w:tc>
        <w:tc>
          <w:tcPr>
            <w:tcW w:w="1539" w:type="dxa"/>
            <w:tcBorders>
              <w:top w:val="nil"/>
              <w:left w:val="single" w:color="000000" w:sz="8" w:space="0"/>
              <w:bottom w:val="single" w:color="000000" w:sz="8" w:space="0"/>
              <w:right w:val="single" w:color="000000" w:sz="8" w:space="0"/>
            </w:tcBorders>
            <w:shd w:val="clear" w:color="auto" w:fill="auto"/>
            <w:vAlign w:val="center"/>
          </w:tcPr>
          <w:p w14:paraId="2282B074">
            <w:pPr>
              <w:pStyle w:val="2"/>
              <w:keepNext w:val="0"/>
              <w:keepLines w:val="0"/>
              <w:widowControl/>
              <w:suppressLineNumbers w:val="0"/>
              <w:spacing w:line="315" w:lineRule="atLeast"/>
              <w:jc w:val="center"/>
            </w:pPr>
            <w:r>
              <w:rPr>
                <w:rFonts w:hint="eastAsia" w:ascii="仿宋" w:hAnsi="仿宋" w:eastAsia="仿宋" w:cs="仿宋"/>
                <w:b w:val="0"/>
                <w:bCs w:val="0"/>
                <w:color w:val="000000"/>
                <w:kern w:val="0"/>
                <w:sz w:val="21"/>
                <w:szCs w:val="21"/>
                <w:u w:val="none"/>
              </w:rPr>
              <w:t>人事处</w:t>
            </w:r>
          </w:p>
        </w:tc>
        <w:tc>
          <w:tcPr>
            <w:tcW w:w="672" w:type="dxa"/>
            <w:tcBorders>
              <w:top w:val="nil"/>
              <w:left w:val="single" w:color="000000" w:sz="8" w:space="0"/>
              <w:bottom w:val="single" w:color="000000" w:sz="8" w:space="0"/>
              <w:right w:val="single" w:color="000000" w:sz="8" w:space="0"/>
            </w:tcBorders>
            <w:shd w:val="clear" w:color="auto" w:fill="auto"/>
            <w:vAlign w:val="center"/>
          </w:tcPr>
          <w:p w14:paraId="6F5BC375">
            <w:pPr>
              <w:pStyle w:val="2"/>
              <w:keepNext w:val="0"/>
              <w:keepLines w:val="0"/>
              <w:widowControl/>
              <w:suppressLineNumbers w:val="0"/>
              <w:spacing w:line="315" w:lineRule="atLeast"/>
              <w:jc w:val="center"/>
              <w:rPr>
                <w:rFonts w:hint="eastAsia" w:eastAsiaTheme="minorEastAsia"/>
                <w:lang w:val="en-US" w:eastAsia="zh-CN"/>
              </w:rPr>
            </w:pPr>
            <w:r>
              <w:rPr>
                <w:rFonts w:hint="eastAsia" w:ascii="仿宋" w:hAnsi="仿宋" w:eastAsia="仿宋" w:cs="仿宋"/>
                <w:b w:val="0"/>
                <w:bCs w:val="0"/>
                <w:color w:val="000000"/>
                <w:kern w:val="0"/>
                <w:sz w:val="21"/>
                <w:szCs w:val="21"/>
                <w:u w:val="none"/>
                <w:lang w:val="en-US" w:eastAsia="zh-CN"/>
              </w:rPr>
              <w:t>1</w:t>
            </w:r>
          </w:p>
        </w:tc>
        <w:tc>
          <w:tcPr>
            <w:tcW w:w="1443" w:type="dxa"/>
            <w:vMerge w:val="restart"/>
            <w:tcBorders>
              <w:top w:val="nil"/>
              <w:left w:val="single" w:color="000000" w:sz="8" w:space="0"/>
              <w:bottom w:val="single" w:color="000000" w:sz="8" w:space="0"/>
              <w:right w:val="single" w:color="000000" w:sz="8" w:space="0"/>
            </w:tcBorders>
            <w:shd w:val="clear" w:color="auto" w:fill="auto"/>
            <w:vAlign w:val="center"/>
          </w:tcPr>
          <w:p w14:paraId="5E614BF7">
            <w:pPr>
              <w:pStyle w:val="2"/>
              <w:keepNext w:val="0"/>
              <w:keepLines w:val="0"/>
              <w:widowControl/>
              <w:suppressLineNumbers w:val="0"/>
              <w:spacing w:line="315" w:lineRule="atLeast"/>
              <w:jc w:val="center"/>
              <w:rPr>
                <w:rFonts w:hint="eastAsia" w:ascii="仿宋" w:hAnsi="仿宋" w:eastAsia="仿宋" w:cs="仿宋"/>
                <w:b w:val="0"/>
                <w:bCs w:val="0"/>
                <w:color w:val="000000"/>
                <w:kern w:val="0"/>
                <w:sz w:val="21"/>
                <w:szCs w:val="21"/>
                <w:u w:val="none"/>
                <w:lang w:eastAsia="zh-CN"/>
              </w:rPr>
            </w:pPr>
            <w:r>
              <w:rPr>
                <w:rFonts w:hint="eastAsia" w:ascii="仿宋" w:hAnsi="仿宋" w:eastAsia="仿宋" w:cs="仿宋"/>
                <w:b w:val="0"/>
                <w:bCs w:val="0"/>
                <w:color w:val="000000"/>
                <w:kern w:val="0"/>
                <w:sz w:val="21"/>
                <w:szCs w:val="21"/>
                <w:u w:val="none"/>
              </w:rPr>
              <w:t>队长：</w:t>
            </w:r>
            <w:r>
              <w:rPr>
                <w:rFonts w:hint="eastAsia" w:ascii="仿宋" w:hAnsi="仿宋" w:eastAsia="仿宋" w:cs="仿宋"/>
                <w:b w:val="0"/>
                <w:bCs w:val="0"/>
                <w:color w:val="000000"/>
                <w:kern w:val="0"/>
                <w:sz w:val="21"/>
                <w:szCs w:val="21"/>
                <w:u w:val="none"/>
                <w:lang w:eastAsia="zh-CN"/>
              </w:rPr>
              <w:t>人事处处</w:t>
            </w:r>
            <w:r>
              <w:rPr>
                <w:rFonts w:hint="eastAsia" w:ascii="仿宋" w:hAnsi="仿宋" w:eastAsia="仿宋" w:cs="仿宋"/>
                <w:b w:val="0"/>
                <w:bCs w:val="0"/>
                <w:color w:val="000000"/>
                <w:kern w:val="0"/>
                <w:sz w:val="21"/>
                <w:szCs w:val="21"/>
                <w:u w:val="none"/>
              </w:rPr>
              <w:t>长担任</w:t>
            </w:r>
          </w:p>
          <w:p w14:paraId="44659DD2">
            <w:pPr>
              <w:pStyle w:val="2"/>
              <w:keepNext w:val="0"/>
              <w:keepLines w:val="0"/>
              <w:widowControl/>
              <w:suppressLineNumbers w:val="0"/>
              <w:spacing w:line="315" w:lineRule="atLeast"/>
              <w:jc w:val="center"/>
            </w:pPr>
            <w:r>
              <w:rPr>
                <w:rFonts w:hint="eastAsia" w:ascii="仿宋" w:hAnsi="仿宋" w:eastAsia="仿宋" w:cs="仿宋"/>
                <w:b w:val="0"/>
                <w:bCs w:val="0"/>
                <w:color w:val="000000"/>
                <w:kern w:val="0"/>
                <w:sz w:val="21"/>
                <w:szCs w:val="21"/>
                <w:u w:val="none"/>
              </w:rPr>
              <w:t>副队长</w:t>
            </w:r>
            <w:r>
              <w:rPr>
                <w:rFonts w:hint="eastAsia" w:ascii="仿宋" w:hAnsi="仿宋" w:eastAsia="仿宋" w:cs="仿宋"/>
                <w:b w:val="0"/>
                <w:bCs w:val="0"/>
                <w:color w:val="000000"/>
                <w:kern w:val="0"/>
                <w:sz w:val="21"/>
                <w:szCs w:val="21"/>
                <w:u w:val="none"/>
                <w:lang w:eastAsia="zh-CN"/>
              </w:rPr>
              <w:t>：保卫处处</w:t>
            </w:r>
            <w:r>
              <w:rPr>
                <w:rFonts w:hint="eastAsia" w:ascii="仿宋" w:hAnsi="仿宋" w:eastAsia="仿宋" w:cs="仿宋"/>
                <w:b w:val="0"/>
                <w:bCs w:val="0"/>
                <w:color w:val="000000"/>
                <w:kern w:val="0"/>
                <w:sz w:val="21"/>
                <w:szCs w:val="21"/>
                <w:u w:val="none"/>
              </w:rPr>
              <w:t>长担任</w:t>
            </w:r>
          </w:p>
        </w:tc>
        <w:tc>
          <w:tcPr>
            <w:tcW w:w="915" w:type="dxa"/>
            <w:vMerge w:val="restart"/>
            <w:tcBorders>
              <w:top w:val="nil"/>
              <w:left w:val="single" w:color="000000" w:sz="8" w:space="0"/>
              <w:bottom w:val="single" w:color="000000" w:sz="8" w:space="0"/>
              <w:right w:val="single" w:color="000000" w:sz="8" w:space="0"/>
            </w:tcBorders>
            <w:shd w:val="clear" w:color="auto" w:fill="auto"/>
            <w:vAlign w:val="center"/>
          </w:tcPr>
          <w:p w14:paraId="2BF36A4E">
            <w:pPr>
              <w:pStyle w:val="2"/>
              <w:keepNext w:val="0"/>
              <w:keepLines w:val="0"/>
              <w:widowControl/>
              <w:suppressLineNumbers w:val="0"/>
              <w:spacing w:line="315" w:lineRule="atLeast"/>
              <w:jc w:val="center"/>
            </w:pPr>
            <w:r>
              <w:rPr>
                <w:rStyle w:val="5"/>
                <w:rFonts w:hint="eastAsia" w:ascii="仿宋" w:hAnsi="仿宋" w:eastAsia="仿宋" w:cs="仿宋"/>
                <w:b/>
                <w:bCs/>
                <w:color w:val="000000"/>
                <w:kern w:val="0"/>
                <w:sz w:val="21"/>
                <w:szCs w:val="21"/>
                <w:u w:val="none"/>
              </w:rPr>
              <w:t>第</w:t>
            </w:r>
            <w:r>
              <w:rPr>
                <w:rStyle w:val="5"/>
                <w:rFonts w:hint="eastAsia" w:ascii="仿宋" w:hAnsi="仿宋" w:eastAsia="仿宋" w:cs="仿宋"/>
                <w:b/>
                <w:bCs/>
                <w:color w:val="000000"/>
                <w:kern w:val="0"/>
                <w:sz w:val="21"/>
                <w:szCs w:val="21"/>
                <w:u w:val="none"/>
                <w:lang w:eastAsia="zh-CN"/>
              </w:rPr>
              <w:t>二</w:t>
            </w:r>
            <w:r>
              <w:rPr>
                <w:rStyle w:val="5"/>
                <w:rFonts w:hint="eastAsia" w:ascii="仿宋" w:hAnsi="仿宋" w:eastAsia="仿宋" w:cs="仿宋"/>
                <w:b/>
                <w:bCs/>
                <w:color w:val="000000"/>
                <w:kern w:val="0"/>
                <w:sz w:val="21"/>
                <w:szCs w:val="21"/>
                <w:u w:val="none"/>
              </w:rPr>
              <w:t>队</w:t>
            </w:r>
          </w:p>
          <w:p w14:paraId="66622F70">
            <w:pPr>
              <w:pStyle w:val="2"/>
              <w:keepNext w:val="0"/>
              <w:keepLines w:val="0"/>
              <w:widowControl/>
              <w:suppressLineNumbers w:val="0"/>
              <w:spacing w:line="315" w:lineRule="atLeast"/>
              <w:jc w:val="center"/>
            </w:pPr>
            <w:r>
              <w:rPr>
                <w:rStyle w:val="5"/>
                <w:rFonts w:hint="eastAsia" w:ascii="仿宋" w:hAnsi="仿宋" w:eastAsia="仿宋" w:cs="仿宋"/>
                <w:b/>
                <w:bCs w:val="0"/>
                <w:kern w:val="2"/>
                <w:sz w:val="21"/>
                <w:szCs w:val="21"/>
                <w:u w:val="none"/>
                <w:lang w:val="en-US" w:eastAsia="zh-CN"/>
              </w:rPr>
              <w:t>31</w:t>
            </w:r>
            <w:r>
              <w:rPr>
                <w:rStyle w:val="5"/>
                <w:rFonts w:hint="eastAsia" w:ascii="仿宋" w:hAnsi="仿宋" w:eastAsia="仿宋" w:cs="仿宋"/>
                <w:b/>
                <w:bCs w:val="0"/>
                <w:kern w:val="2"/>
                <w:sz w:val="21"/>
                <w:szCs w:val="21"/>
                <w:u w:val="none"/>
              </w:rPr>
              <w:t>人</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9C1E794">
            <w:pPr>
              <w:pStyle w:val="2"/>
              <w:keepNext w:val="0"/>
              <w:keepLines w:val="0"/>
              <w:widowControl/>
              <w:suppressLineNumbers w:val="0"/>
              <w:spacing w:line="315" w:lineRule="atLeast"/>
              <w:ind w:left="0" w:leftChars="0" w:right="0" w:rightChars="0"/>
              <w:jc w:val="center"/>
              <w:rPr>
                <w:rFonts w:hint="eastAsia" w:asciiTheme="minorHAnsi" w:hAnsiTheme="minorHAnsi" w:eastAsiaTheme="minorEastAsia" w:cstheme="minorBidi"/>
                <w:kern w:val="0"/>
                <w:sz w:val="24"/>
                <w:szCs w:val="24"/>
                <w:lang w:val="en-US" w:eastAsia="zh-CN" w:bidi="ar"/>
              </w:rPr>
            </w:pPr>
            <w:r>
              <w:rPr>
                <w:rFonts w:hint="eastAsia" w:ascii="仿宋" w:hAnsi="仿宋" w:eastAsia="仿宋" w:cs="仿宋"/>
                <w:b w:val="0"/>
                <w:bCs w:val="0"/>
                <w:color w:val="000000"/>
                <w:kern w:val="0"/>
                <w:sz w:val="21"/>
                <w:szCs w:val="21"/>
                <w:u w:val="none"/>
                <w:lang w:val="en-US" w:eastAsia="zh-CN"/>
              </w:rPr>
              <w:t>党政办公室</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606B521D">
            <w:pPr>
              <w:pStyle w:val="2"/>
              <w:keepNext w:val="0"/>
              <w:keepLines w:val="0"/>
              <w:widowControl/>
              <w:suppressLineNumbers w:val="0"/>
              <w:spacing w:line="315" w:lineRule="atLeast"/>
              <w:ind w:left="0" w:leftChars="0" w:right="0" w:rightChars="0"/>
              <w:jc w:val="center"/>
              <w:rPr>
                <w:rFonts w:hint="default" w:asciiTheme="minorHAnsi" w:hAnsiTheme="minorHAnsi" w:eastAsiaTheme="minorEastAsia" w:cstheme="minorBidi"/>
                <w:kern w:val="0"/>
                <w:sz w:val="24"/>
                <w:szCs w:val="24"/>
                <w:lang w:val="en-US" w:eastAsia="zh-CN" w:bidi="ar"/>
              </w:rPr>
            </w:pPr>
            <w:r>
              <w:rPr>
                <w:rFonts w:hint="eastAsia" w:ascii="仿宋" w:hAnsi="仿宋" w:eastAsia="仿宋" w:cs="仿宋"/>
                <w:b w:val="0"/>
                <w:bCs w:val="0"/>
                <w:color w:val="000000"/>
                <w:kern w:val="0"/>
                <w:sz w:val="21"/>
                <w:szCs w:val="21"/>
                <w:u w:val="none"/>
                <w:lang w:val="en-US" w:eastAsia="zh-CN"/>
              </w:rPr>
              <w:t>1</w:t>
            </w:r>
          </w:p>
        </w:tc>
        <w:tc>
          <w:tcPr>
            <w:tcW w:w="1662" w:type="dxa"/>
            <w:vMerge w:val="restart"/>
            <w:tcBorders>
              <w:top w:val="nil"/>
              <w:left w:val="single" w:color="000000" w:sz="8" w:space="0"/>
              <w:bottom w:val="single" w:color="000000" w:sz="8" w:space="0"/>
              <w:right w:val="single" w:color="000000" w:sz="8" w:space="0"/>
            </w:tcBorders>
            <w:shd w:val="clear" w:color="auto" w:fill="auto"/>
            <w:vAlign w:val="center"/>
          </w:tcPr>
          <w:p w14:paraId="6B37645B">
            <w:pPr>
              <w:pStyle w:val="2"/>
              <w:keepNext w:val="0"/>
              <w:keepLines w:val="0"/>
              <w:widowControl/>
              <w:suppressLineNumbers w:val="0"/>
              <w:spacing w:line="315" w:lineRule="atLeast"/>
              <w:jc w:val="center"/>
              <w:rPr>
                <w:rFonts w:hint="eastAsia" w:eastAsia="仿宋"/>
                <w:lang w:eastAsia="zh-CN"/>
              </w:rPr>
            </w:pPr>
            <w:r>
              <w:rPr>
                <w:rFonts w:hint="eastAsia" w:ascii="仿宋" w:hAnsi="仿宋" w:eastAsia="仿宋" w:cs="仿宋"/>
                <w:b w:val="0"/>
                <w:bCs w:val="0"/>
                <w:color w:val="000000"/>
                <w:kern w:val="0"/>
                <w:sz w:val="21"/>
                <w:szCs w:val="21"/>
                <w:u w:val="none"/>
              </w:rPr>
              <w:t>队长：</w:t>
            </w:r>
            <w:r>
              <w:rPr>
                <w:rFonts w:hint="eastAsia" w:ascii="仿宋" w:hAnsi="仿宋" w:eastAsia="仿宋" w:cs="仿宋"/>
                <w:b w:val="0"/>
                <w:bCs w:val="0"/>
                <w:color w:val="000000"/>
                <w:kern w:val="0"/>
                <w:sz w:val="21"/>
                <w:szCs w:val="21"/>
                <w:u w:val="none"/>
                <w:lang w:val="en-US" w:eastAsia="zh-CN"/>
              </w:rPr>
              <w:t>党政</w:t>
            </w:r>
            <w:r>
              <w:rPr>
                <w:rFonts w:hint="eastAsia" w:ascii="仿宋" w:hAnsi="仿宋" w:eastAsia="仿宋" w:cs="仿宋"/>
                <w:b w:val="0"/>
                <w:bCs w:val="0"/>
                <w:color w:val="000000"/>
                <w:kern w:val="0"/>
                <w:sz w:val="21"/>
                <w:szCs w:val="21"/>
                <w:u w:val="none"/>
                <w:lang w:eastAsia="zh-CN"/>
              </w:rPr>
              <w:t>办公室主任担任</w:t>
            </w:r>
          </w:p>
          <w:p w14:paraId="20733C31">
            <w:pPr>
              <w:pStyle w:val="2"/>
              <w:keepNext w:val="0"/>
              <w:keepLines w:val="0"/>
              <w:widowControl/>
              <w:suppressLineNumbers w:val="0"/>
              <w:spacing w:line="315" w:lineRule="atLeast"/>
              <w:jc w:val="center"/>
              <w:rPr>
                <w:rFonts w:hint="default"/>
                <w:lang w:val="en-US"/>
              </w:rPr>
            </w:pPr>
            <w:r>
              <w:rPr>
                <w:rFonts w:hint="eastAsia" w:ascii="仿宋" w:hAnsi="仿宋" w:eastAsia="仿宋" w:cs="仿宋"/>
                <w:b w:val="0"/>
                <w:bCs w:val="0"/>
                <w:kern w:val="2"/>
                <w:sz w:val="21"/>
                <w:szCs w:val="21"/>
                <w:u w:val="none"/>
              </w:rPr>
              <w:t>副队长：</w:t>
            </w:r>
            <w:r>
              <w:rPr>
                <w:rFonts w:hint="eastAsia" w:ascii="仿宋" w:hAnsi="仿宋" w:eastAsia="仿宋" w:cs="仿宋"/>
                <w:b w:val="0"/>
                <w:bCs w:val="0"/>
                <w:color w:val="000000"/>
                <w:kern w:val="0"/>
                <w:sz w:val="21"/>
                <w:szCs w:val="21"/>
                <w:u w:val="none"/>
                <w:lang w:val="en-US" w:eastAsia="zh-CN"/>
              </w:rPr>
              <w:t>学生处处长担任</w:t>
            </w:r>
          </w:p>
        </w:tc>
      </w:tr>
      <w:tr w14:paraId="597CAF9F">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trPr>
        <w:tc>
          <w:tcPr>
            <w:tcW w:w="1074" w:type="dxa"/>
            <w:vMerge w:val="continue"/>
            <w:tcBorders>
              <w:top w:val="nil"/>
              <w:left w:val="single" w:color="000000" w:sz="8" w:space="0"/>
              <w:bottom w:val="single" w:color="000000" w:sz="8" w:space="0"/>
              <w:right w:val="single" w:color="000000" w:sz="8" w:space="0"/>
            </w:tcBorders>
            <w:shd w:val="clear" w:color="auto" w:fill="auto"/>
            <w:vAlign w:val="center"/>
          </w:tcPr>
          <w:p w14:paraId="099C6CCA">
            <w:pPr>
              <w:rPr>
                <w:rFonts w:hint="eastAsia" w:ascii="宋体" w:hAnsi="宋体" w:eastAsia="宋体" w:cs="宋体"/>
                <w:b w:val="0"/>
                <w:bCs w:val="0"/>
                <w:sz w:val="18"/>
                <w:szCs w:val="18"/>
                <w:u w:val="none"/>
              </w:rPr>
            </w:pPr>
          </w:p>
        </w:tc>
        <w:tc>
          <w:tcPr>
            <w:tcW w:w="1539" w:type="dxa"/>
            <w:tcBorders>
              <w:top w:val="nil"/>
              <w:left w:val="single" w:color="000000" w:sz="8" w:space="0"/>
              <w:bottom w:val="single" w:color="000000" w:sz="8" w:space="0"/>
              <w:right w:val="single" w:color="000000" w:sz="8" w:space="0"/>
            </w:tcBorders>
            <w:shd w:val="clear" w:color="auto" w:fill="auto"/>
            <w:vAlign w:val="center"/>
          </w:tcPr>
          <w:p w14:paraId="41BFB64E">
            <w:pPr>
              <w:pStyle w:val="2"/>
              <w:keepNext w:val="0"/>
              <w:keepLines w:val="0"/>
              <w:widowControl/>
              <w:suppressLineNumbers w:val="0"/>
              <w:spacing w:line="315" w:lineRule="atLeast"/>
              <w:ind w:left="0" w:leftChars="0" w:right="0" w:rightChars="0"/>
              <w:jc w:val="center"/>
              <w:rPr>
                <w:rFonts w:asciiTheme="minorHAnsi" w:hAnsiTheme="minorHAnsi" w:eastAsiaTheme="minorEastAsia" w:cstheme="minorBidi"/>
                <w:kern w:val="0"/>
                <w:sz w:val="24"/>
                <w:szCs w:val="24"/>
                <w:lang w:val="en-US" w:eastAsia="zh-CN" w:bidi="ar"/>
              </w:rPr>
            </w:pPr>
            <w:r>
              <w:rPr>
                <w:rFonts w:hint="eastAsia" w:ascii="仿宋" w:hAnsi="仿宋" w:eastAsia="仿宋" w:cs="仿宋"/>
                <w:b w:val="0"/>
                <w:bCs w:val="0"/>
                <w:color w:val="000000"/>
                <w:kern w:val="0"/>
                <w:sz w:val="21"/>
                <w:szCs w:val="21"/>
                <w:u w:val="none"/>
              </w:rPr>
              <w:t>宣传部</w:t>
            </w:r>
          </w:p>
        </w:tc>
        <w:tc>
          <w:tcPr>
            <w:tcW w:w="672" w:type="dxa"/>
            <w:tcBorders>
              <w:top w:val="nil"/>
              <w:left w:val="single" w:color="000000" w:sz="8" w:space="0"/>
              <w:bottom w:val="single" w:color="000000" w:sz="8" w:space="0"/>
              <w:right w:val="single" w:color="000000" w:sz="8" w:space="0"/>
            </w:tcBorders>
            <w:shd w:val="clear" w:color="auto" w:fill="auto"/>
            <w:vAlign w:val="center"/>
          </w:tcPr>
          <w:p w14:paraId="659DA7D3">
            <w:pPr>
              <w:pStyle w:val="2"/>
              <w:keepNext w:val="0"/>
              <w:keepLines w:val="0"/>
              <w:widowControl/>
              <w:suppressLineNumbers w:val="0"/>
              <w:spacing w:line="315" w:lineRule="atLeast"/>
              <w:ind w:left="0" w:leftChars="0" w:right="0" w:rightChars="0"/>
              <w:jc w:val="center"/>
              <w:rPr>
                <w:rFonts w:asciiTheme="minorHAnsi" w:hAnsiTheme="minorHAnsi" w:eastAsiaTheme="minorEastAsia" w:cstheme="minorBidi"/>
                <w:kern w:val="0"/>
                <w:sz w:val="24"/>
                <w:szCs w:val="24"/>
                <w:lang w:val="en-US" w:eastAsia="zh-CN" w:bidi="ar"/>
              </w:rPr>
            </w:pPr>
            <w:r>
              <w:rPr>
                <w:rFonts w:hint="eastAsia" w:ascii="仿宋" w:hAnsi="仿宋" w:eastAsia="仿宋" w:cs="宋体"/>
                <w:b w:val="0"/>
                <w:bCs w:val="0"/>
                <w:color w:val="000000"/>
                <w:kern w:val="0"/>
                <w:sz w:val="21"/>
                <w:szCs w:val="21"/>
                <w:u w:val="none"/>
              </w:rPr>
              <w:t>1</w:t>
            </w:r>
          </w:p>
        </w:tc>
        <w:tc>
          <w:tcPr>
            <w:tcW w:w="1443" w:type="dxa"/>
            <w:vMerge w:val="continue"/>
            <w:tcBorders>
              <w:top w:val="nil"/>
              <w:left w:val="single" w:color="000000" w:sz="8" w:space="0"/>
              <w:bottom w:val="single" w:color="000000" w:sz="8" w:space="0"/>
              <w:right w:val="single" w:color="000000" w:sz="8" w:space="0"/>
            </w:tcBorders>
            <w:shd w:val="clear" w:color="auto" w:fill="auto"/>
            <w:vAlign w:val="center"/>
          </w:tcPr>
          <w:p w14:paraId="16E3BFDA">
            <w:pPr>
              <w:rPr>
                <w:rFonts w:hint="eastAsia" w:ascii="宋体" w:hAnsi="宋体" w:eastAsia="宋体" w:cs="宋体"/>
                <w:b w:val="0"/>
                <w:bCs w:val="0"/>
                <w:sz w:val="18"/>
                <w:szCs w:val="18"/>
                <w:u w:val="none"/>
              </w:rPr>
            </w:pPr>
          </w:p>
        </w:tc>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32604D86">
            <w:pPr>
              <w:rPr>
                <w:rFonts w:hint="eastAsia" w:ascii="宋体" w:hAnsi="宋体" w:eastAsia="宋体" w:cs="宋体"/>
                <w:b w:val="0"/>
                <w:bCs w:val="0"/>
                <w:sz w:val="18"/>
                <w:szCs w:val="18"/>
                <w:u w:val="none"/>
              </w:rPr>
            </w:pP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C1818CC">
            <w:pPr>
              <w:pStyle w:val="2"/>
              <w:keepNext w:val="0"/>
              <w:keepLines w:val="0"/>
              <w:widowControl/>
              <w:suppressLineNumbers w:val="0"/>
              <w:spacing w:line="315" w:lineRule="atLeast"/>
              <w:ind w:left="0" w:leftChars="0" w:right="0" w:rightChars="0"/>
              <w:jc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rPr>
              <w:t>学生处</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42D7B35D">
            <w:pPr>
              <w:pStyle w:val="2"/>
              <w:keepNext w:val="0"/>
              <w:keepLines w:val="0"/>
              <w:widowControl/>
              <w:suppressLineNumbers w:val="0"/>
              <w:spacing w:line="315" w:lineRule="atLeast"/>
              <w:ind w:left="0" w:leftChars="0" w:right="0" w:rightChars="0"/>
              <w:jc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rPr>
              <w:t>8</w:t>
            </w:r>
          </w:p>
        </w:tc>
        <w:tc>
          <w:tcPr>
            <w:tcW w:w="1662" w:type="dxa"/>
            <w:vMerge w:val="continue"/>
            <w:tcBorders>
              <w:top w:val="nil"/>
              <w:left w:val="single" w:color="000000" w:sz="8" w:space="0"/>
              <w:bottom w:val="single" w:color="000000" w:sz="8" w:space="0"/>
              <w:right w:val="single" w:color="000000" w:sz="8" w:space="0"/>
            </w:tcBorders>
            <w:shd w:val="clear" w:color="auto" w:fill="auto"/>
            <w:vAlign w:val="center"/>
          </w:tcPr>
          <w:p w14:paraId="47E13C82">
            <w:pPr>
              <w:rPr>
                <w:rFonts w:hint="eastAsia" w:ascii="宋体" w:hAnsi="宋体" w:eastAsia="宋体" w:cs="宋体"/>
                <w:b w:val="0"/>
                <w:bCs w:val="0"/>
                <w:sz w:val="18"/>
                <w:szCs w:val="18"/>
                <w:u w:val="none"/>
              </w:rPr>
            </w:pPr>
          </w:p>
        </w:tc>
      </w:tr>
      <w:tr w14:paraId="1468F54C">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69" w:hRule="atLeast"/>
        </w:trPr>
        <w:tc>
          <w:tcPr>
            <w:tcW w:w="1074" w:type="dxa"/>
            <w:vMerge w:val="continue"/>
            <w:tcBorders>
              <w:top w:val="nil"/>
              <w:left w:val="single" w:color="000000" w:sz="8" w:space="0"/>
              <w:bottom w:val="single" w:color="000000" w:sz="8" w:space="0"/>
              <w:right w:val="single" w:color="000000" w:sz="8" w:space="0"/>
            </w:tcBorders>
            <w:shd w:val="clear" w:color="auto" w:fill="auto"/>
            <w:vAlign w:val="center"/>
          </w:tcPr>
          <w:p w14:paraId="5E618C49">
            <w:pPr>
              <w:rPr>
                <w:rFonts w:hint="eastAsia" w:ascii="宋体" w:hAnsi="宋体" w:eastAsia="宋体" w:cs="宋体"/>
                <w:b w:val="0"/>
                <w:bCs w:val="0"/>
                <w:sz w:val="18"/>
                <w:szCs w:val="18"/>
                <w:u w:val="none"/>
              </w:rPr>
            </w:pPr>
          </w:p>
        </w:tc>
        <w:tc>
          <w:tcPr>
            <w:tcW w:w="1539" w:type="dxa"/>
            <w:tcBorders>
              <w:top w:val="nil"/>
              <w:left w:val="single" w:color="000000" w:sz="8" w:space="0"/>
              <w:bottom w:val="single" w:color="000000" w:sz="8" w:space="0"/>
              <w:right w:val="single" w:color="000000" w:sz="8" w:space="0"/>
            </w:tcBorders>
            <w:shd w:val="clear" w:color="auto" w:fill="auto"/>
            <w:vAlign w:val="center"/>
          </w:tcPr>
          <w:p w14:paraId="2B338686">
            <w:pPr>
              <w:pStyle w:val="2"/>
              <w:keepNext w:val="0"/>
              <w:keepLines w:val="0"/>
              <w:widowControl/>
              <w:suppressLineNumbers w:val="0"/>
              <w:spacing w:line="315" w:lineRule="atLeast"/>
              <w:ind w:left="0" w:leftChars="0" w:right="0" w:rightChars="0"/>
              <w:jc w:val="center"/>
              <w:rPr>
                <w:rFonts w:asciiTheme="minorHAnsi" w:hAnsiTheme="minorHAnsi" w:eastAsiaTheme="minorEastAsia" w:cstheme="minorBidi"/>
                <w:kern w:val="0"/>
                <w:sz w:val="24"/>
                <w:szCs w:val="24"/>
                <w:lang w:val="en-US" w:eastAsia="zh-CN" w:bidi="ar"/>
              </w:rPr>
            </w:pPr>
            <w:r>
              <w:rPr>
                <w:rFonts w:hint="eastAsia" w:ascii="仿宋" w:hAnsi="仿宋" w:eastAsia="仿宋" w:cs="仿宋"/>
                <w:b w:val="0"/>
                <w:bCs w:val="0"/>
                <w:color w:val="000000"/>
                <w:kern w:val="0"/>
                <w:sz w:val="21"/>
                <w:szCs w:val="21"/>
                <w:u w:val="none"/>
              </w:rPr>
              <w:t>工会</w:t>
            </w:r>
          </w:p>
        </w:tc>
        <w:tc>
          <w:tcPr>
            <w:tcW w:w="672" w:type="dxa"/>
            <w:tcBorders>
              <w:top w:val="nil"/>
              <w:left w:val="single" w:color="000000" w:sz="8" w:space="0"/>
              <w:bottom w:val="single" w:color="000000" w:sz="8" w:space="0"/>
              <w:right w:val="single" w:color="000000" w:sz="8" w:space="0"/>
            </w:tcBorders>
            <w:shd w:val="clear" w:color="auto" w:fill="auto"/>
            <w:vAlign w:val="center"/>
          </w:tcPr>
          <w:p w14:paraId="2DC64FCB">
            <w:pPr>
              <w:pStyle w:val="2"/>
              <w:keepNext w:val="0"/>
              <w:keepLines w:val="0"/>
              <w:widowControl/>
              <w:suppressLineNumbers w:val="0"/>
              <w:spacing w:line="315" w:lineRule="atLeast"/>
              <w:ind w:left="0" w:leftChars="0" w:right="0" w:rightChars="0"/>
              <w:jc w:val="center"/>
              <w:rPr>
                <w:rFonts w:asciiTheme="minorHAnsi" w:hAnsiTheme="minorHAnsi" w:eastAsiaTheme="minorEastAsia" w:cstheme="minorBidi"/>
                <w:kern w:val="0"/>
                <w:sz w:val="24"/>
                <w:szCs w:val="24"/>
                <w:lang w:val="en-US" w:eastAsia="zh-CN" w:bidi="ar"/>
              </w:rPr>
            </w:pPr>
            <w:r>
              <w:rPr>
                <w:rFonts w:hint="eastAsia" w:ascii="仿宋" w:hAnsi="仿宋" w:eastAsia="仿宋" w:cs="宋体"/>
                <w:b w:val="0"/>
                <w:bCs w:val="0"/>
                <w:color w:val="000000"/>
                <w:kern w:val="0"/>
                <w:sz w:val="21"/>
                <w:szCs w:val="21"/>
                <w:u w:val="none"/>
              </w:rPr>
              <w:t>1</w:t>
            </w:r>
          </w:p>
        </w:tc>
        <w:tc>
          <w:tcPr>
            <w:tcW w:w="1443" w:type="dxa"/>
            <w:vMerge w:val="continue"/>
            <w:tcBorders>
              <w:top w:val="nil"/>
              <w:left w:val="single" w:color="000000" w:sz="8" w:space="0"/>
              <w:bottom w:val="single" w:color="000000" w:sz="8" w:space="0"/>
              <w:right w:val="single" w:color="000000" w:sz="8" w:space="0"/>
            </w:tcBorders>
            <w:shd w:val="clear" w:color="auto" w:fill="auto"/>
            <w:vAlign w:val="center"/>
          </w:tcPr>
          <w:p w14:paraId="6F240D6A">
            <w:pPr>
              <w:rPr>
                <w:rFonts w:hint="eastAsia" w:ascii="宋体" w:hAnsi="宋体" w:eastAsia="宋体" w:cs="宋体"/>
                <w:b w:val="0"/>
                <w:bCs w:val="0"/>
                <w:sz w:val="18"/>
                <w:szCs w:val="18"/>
                <w:u w:val="none"/>
              </w:rPr>
            </w:pPr>
          </w:p>
        </w:tc>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478A4F9B">
            <w:pPr>
              <w:rPr>
                <w:rFonts w:hint="eastAsia" w:ascii="宋体" w:hAnsi="宋体" w:eastAsia="宋体" w:cs="宋体"/>
                <w:b w:val="0"/>
                <w:bCs w:val="0"/>
                <w:sz w:val="18"/>
                <w:szCs w:val="18"/>
                <w:u w:val="none"/>
              </w:rPr>
            </w:pP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EB68EEF">
            <w:pPr>
              <w:pStyle w:val="2"/>
              <w:keepNext w:val="0"/>
              <w:keepLines w:val="0"/>
              <w:widowControl/>
              <w:suppressLineNumbers w:val="0"/>
              <w:spacing w:line="315" w:lineRule="atLeast"/>
              <w:ind w:left="0" w:leftChars="0" w:right="0" w:rightChars="0"/>
              <w:jc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eastAsia="zh-CN"/>
              </w:rPr>
              <w:t>团委</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367078DD">
            <w:pPr>
              <w:pStyle w:val="2"/>
              <w:keepNext w:val="0"/>
              <w:keepLines w:val="0"/>
              <w:widowControl/>
              <w:suppressLineNumbers w:val="0"/>
              <w:spacing w:line="315" w:lineRule="atLeast"/>
              <w:ind w:left="0" w:leftChars="0" w:right="0" w:rightChars="0"/>
              <w:jc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eastAsia="zh-CN"/>
              </w:rPr>
              <w:t>1</w:t>
            </w:r>
          </w:p>
        </w:tc>
        <w:tc>
          <w:tcPr>
            <w:tcW w:w="1662" w:type="dxa"/>
            <w:vMerge w:val="continue"/>
            <w:tcBorders>
              <w:top w:val="nil"/>
              <w:left w:val="single" w:color="000000" w:sz="8" w:space="0"/>
              <w:bottom w:val="single" w:color="000000" w:sz="8" w:space="0"/>
              <w:right w:val="single" w:color="000000" w:sz="8" w:space="0"/>
            </w:tcBorders>
            <w:shd w:val="clear" w:color="auto" w:fill="auto"/>
            <w:vAlign w:val="center"/>
          </w:tcPr>
          <w:p w14:paraId="3A74CA59">
            <w:pPr>
              <w:rPr>
                <w:rFonts w:hint="eastAsia" w:ascii="宋体" w:hAnsi="宋体" w:eastAsia="宋体" w:cs="宋体"/>
                <w:b w:val="0"/>
                <w:bCs w:val="0"/>
                <w:sz w:val="18"/>
                <w:szCs w:val="18"/>
                <w:u w:val="none"/>
              </w:rPr>
            </w:pPr>
          </w:p>
        </w:tc>
      </w:tr>
      <w:tr w14:paraId="6E34E286">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trPr>
        <w:tc>
          <w:tcPr>
            <w:tcW w:w="1074" w:type="dxa"/>
            <w:vMerge w:val="continue"/>
            <w:tcBorders>
              <w:top w:val="nil"/>
              <w:left w:val="single" w:color="000000" w:sz="8" w:space="0"/>
              <w:bottom w:val="single" w:color="000000" w:sz="8" w:space="0"/>
              <w:right w:val="single" w:color="000000" w:sz="8" w:space="0"/>
            </w:tcBorders>
            <w:shd w:val="clear" w:color="auto" w:fill="auto"/>
            <w:vAlign w:val="center"/>
          </w:tcPr>
          <w:p w14:paraId="182E2AD5">
            <w:pPr>
              <w:rPr>
                <w:rFonts w:hint="eastAsia" w:ascii="宋体" w:hAnsi="宋体" w:eastAsia="宋体" w:cs="宋体"/>
                <w:b w:val="0"/>
                <w:bCs w:val="0"/>
                <w:sz w:val="18"/>
                <w:szCs w:val="18"/>
                <w:u w:val="none"/>
              </w:rPr>
            </w:pPr>
          </w:p>
        </w:tc>
        <w:tc>
          <w:tcPr>
            <w:tcW w:w="1539" w:type="dxa"/>
            <w:tcBorders>
              <w:top w:val="nil"/>
              <w:left w:val="single" w:color="000000" w:sz="8" w:space="0"/>
              <w:bottom w:val="single" w:color="000000" w:sz="8" w:space="0"/>
              <w:right w:val="single" w:color="000000" w:sz="8" w:space="0"/>
            </w:tcBorders>
            <w:shd w:val="clear" w:color="auto" w:fill="auto"/>
            <w:vAlign w:val="center"/>
          </w:tcPr>
          <w:p w14:paraId="7BE5794D">
            <w:pPr>
              <w:pStyle w:val="2"/>
              <w:keepNext w:val="0"/>
              <w:keepLines w:val="0"/>
              <w:widowControl/>
              <w:suppressLineNumbers w:val="0"/>
              <w:spacing w:line="315" w:lineRule="atLeast"/>
              <w:ind w:left="0" w:leftChars="0" w:right="0" w:rightChars="0"/>
              <w:jc w:val="center"/>
              <w:rPr>
                <w:rFonts w:asciiTheme="minorHAnsi" w:hAnsiTheme="minorHAnsi" w:eastAsiaTheme="minorEastAsia" w:cstheme="minorBidi"/>
                <w:kern w:val="0"/>
                <w:sz w:val="24"/>
                <w:szCs w:val="24"/>
                <w:lang w:val="en-US" w:eastAsia="zh-CN" w:bidi="ar"/>
              </w:rPr>
            </w:pPr>
            <w:r>
              <w:rPr>
                <w:rFonts w:hint="eastAsia" w:ascii="仿宋" w:hAnsi="仿宋" w:eastAsia="仿宋" w:cs="仿宋"/>
                <w:b w:val="0"/>
                <w:bCs w:val="0"/>
                <w:color w:val="000000"/>
                <w:kern w:val="0"/>
                <w:sz w:val="21"/>
                <w:szCs w:val="21"/>
                <w:u w:val="none"/>
              </w:rPr>
              <w:t>教务处</w:t>
            </w:r>
          </w:p>
        </w:tc>
        <w:tc>
          <w:tcPr>
            <w:tcW w:w="672" w:type="dxa"/>
            <w:tcBorders>
              <w:top w:val="nil"/>
              <w:left w:val="single" w:color="000000" w:sz="8" w:space="0"/>
              <w:bottom w:val="single" w:color="000000" w:sz="8" w:space="0"/>
              <w:right w:val="single" w:color="000000" w:sz="8" w:space="0"/>
            </w:tcBorders>
            <w:shd w:val="clear" w:color="auto" w:fill="auto"/>
            <w:vAlign w:val="center"/>
          </w:tcPr>
          <w:p w14:paraId="39F7B1A8">
            <w:pPr>
              <w:pStyle w:val="2"/>
              <w:keepNext w:val="0"/>
              <w:keepLines w:val="0"/>
              <w:widowControl/>
              <w:suppressLineNumbers w:val="0"/>
              <w:spacing w:line="315" w:lineRule="atLeast"/>
              <w:ind w:left="0" w:leftChars="0" w:right="0" w:rightChars="0"/>
              <w:jc w:val="center"/>
              <w:rPr>
                <w:rFonts w:hint="default" w:asciiTheme="minorHAnsi" w:hAnsiTheme="minorHAnsi" w:eastAsiaTheme="minorEastAsia" w:cstheme="minorBidi"/>
                <w:kern w:val="0"/>
                <w:sz w:val="24"/>
                <w:szCs w:val="24"/>
                <w:lang w:val="en-US" w:eastAsia="zh-CN" w:bidi="ar"/>
              </w:rPr>
            </w:pPr>
            <w:r>
              <w:rPr>
                <w:rFonts w:hint="eastAsia" w:ascii="仿宋" w:hAnsi="仿宋" w:eastAsia="仿宋" w:cs="仿宋"/>
                <w:b w:val="0"/>
                <w:bCs w:val="0"/>
                <w:color w:val="000000"/>
                <w:kern w:val="0"/>
                <w:sz w:val="21"/>
                <w:szCs w:val="21"/>
                <w:u w:val="none"/>
                <w:lang w:val="en-US" w:eastAsia="zh-CN"/>
              </w:rPr>
              <w:t>3</w:t>
            </w:r>
          </w:p>
        </w:tc>
        <w:tc>
          <w:tcPr>
            <w:tcW w:w="1443" w:type="dxa"/>
            <w:vMerge w:val="continue"/>
            <w:tcBorders>
              <w:top w:val="nil"/>
              <w:left w:val="single" w:color="000000" w:sz="8" w:space="0"/>
              <w:bottom w:val="single" w:color="000000" w:sz="8" w:space="0"/>
              <w:right w:val="single" w:color="000000" w:sz="8" w:space="0"/>
            </w:tcBorders>
            <w:shd w:val="clear" w:color="auto" w:fill="auto"/>
            <w:vAlign w:val="center"/>
          </w:tcPr>
          <w:p w14:paraId="02776161">
            <w:pPr>
              <w:rPr>
                <w:rFonts w:hint="eastAsia" w:ascii="宋体" w:hAnsi="宋体" w:eastAsia="宋体" w:cs="宋体"/>
                <w:b w:val="0"/>
                <w:bCs w:val="0"/>
                <w:sz w:val="18"/>
                <w:szCs w:val="18"/>
                <w:u w:val="none"/>
              </w:rPr>
            </w:pPr>
          </w:p>
        </w:tc>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56142A8A">
            <w:pPr>
              <w:rPr>
                <w:rFonts w:hint="eastAsia" w:ascii="宋体" w:hAnsi="宋体" w:eastAsia="宋体" w:cs="宋体"/>
                <w:b w:val="0"/>
                <w:bCs w:val="0"/>
                <w:sz w:val="18"/>
                <w:szCs w:val="18"/>
                <w:u w:val="none"/>
              </w:rPr>
            </w:pP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5AD2949">
            <w:pPr>
              <w:pStyle w:val="2"/>
              <w:keepNext w:val="0"/>
              <w:keepLines w:val="0"/>
              <w:widowControl/>
              <w:suppressLineNumbers w:val="0"/>
              <w:spacing w:line="315" w:lineRule="atLeast"/>
              <w:jc w:val="center"/>
              <w:rPr>
                <w:rFonts w:hint="eastAsia" w:ascii="仿宋" w:hAnsi="仿宋" w:eastAsia="仿宋" w:cs="仿宋"/>
                <w:b w:val="0"/>
                <w:bCs w:val="0"/>
                <w:color w:val="000000"/>
                <w:kern w:val="0"/>
                <w:sz w:val="21"/>
                <w:szCs w:val="21"/>
                <w:u w:val="none"/>
                <w:lang w:eastAsia="zh-CN"/>
              </w:rPr>
            </w:pPr>
            <w:r>
              <w:rPr>
                <w:rFonts w:hint="eastAsia" w:ascii="仿宋" w:hAnsi="仿宋" w:eastAsia="仿宋" w:cs="仿宋"/>
                <w:b w:val="0"/>
                <w:bCs w:val="0"/>
                <w:color w:val="000000"/>
                <w:kern w:val="0"/>
                <w:sz w:val="21"/>
                <w:szCs w:val="21"/>
                <w:u w:val="none"/>
                <w:lang w:eastAsia="zh-CN"/>
              </w:rPr>
              <w:t>教育与表演艺术学院</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3AC20EDC">
            <w:pPr>
              <w:pStyle w:val="2"/>
              <w:keepNext w:val="0"/>
              <w:keepLines w:val="0"/>
              <w:widowControl/>
              <w:suppressLineNumbers w:val="0"/>
              <w:spacing w:line="315" w:lineRule="atLeast"/>
              <w:jc w:val="center"/>
              <w:rPr>
                <w:rFonts w:hint="eastAsia" w:ascii="仿宋" w:hAnsi="仿宋" w:eastAsia="仿宋" w:cs="仿宋"/>
                <w:b w:val="0"/>
                <w:bCs w:val="0"/>
                <w:color w:val="000000"/>
                <w:kern w:val="0"/>
                <w:sz w:val="21"/>
                <w:szCs w:val="21"/>
                <w:u w:val="none"/>
                <w:lang w:val="en-US" w:eastAsia="zh-CN"/>
              </w:rPr>
            </w:pPr>
            <w:r>
              <w:rPr>
                <w:rFonts w:hint="eastAsia" w:ascii="仿宋" w:hAnsi="仿宋" w:eastAsia="仿宋" w:cs="仿宋"/>
                <w:b w:val="0"/>
                <w:bCs w:val="0"/>
                <w:color w:val="000000"/>
                <w:kern w:val="0"/>
                <w:sz w:val="21"/>
                <w:szCs w:val="21"/>
                <w:u w:val="none"/>
                <w:lang w:val="en-US" w:eastAsia="zh-CN"/>
              </w:rPr>
              <w:t>4</w:t>
            </w:r>
          </w:p>
        </w:tc>
        <w:tc>
          <w:tcPr>
            <w:tcW w:w="1662" w:type="dxa"/>
            <w:vMerge w:val="continue"/>
            <w:tcBorders>
              <w:top w:val="nil"/>
              <w:left w:val="single" w:color="000000" w:sz="8" w:space="0"/>
              <w:bottom w:val="single" w:color="000000" w:sz="8" w:space="0"/>
              <w:right w:val="single" w:color="000000" w:sz="8" w:space="0"/>
            </w:tcBorders>
            <w:shd w:val="clear" w:color="auto" w:fill="auto"/>
            <w:vAlign w:val="center"/>
          </w:tcPr>
          <w:p w14:paraId="4ADB2FE7">
            <w:pPr>
              <w:rPr>
                <w:rFonts w:hint="eastAsia" w:ascii="宋体" w:hAnsi="宋体" w:eastAsia="宋体" w:cs="宋体"/>
                <w:b w:val="0"/>
                <w:bCs w:val="0"/>
                <w:sz w:val="18"/>
                <w:szCs w:val="18"/>
                <w:u w:val="none"/>
              </w:rPr>
            </w:pPr>
          </w:p>
        </w:tc>
      </w:tr>
      <w:tr w14:paraId="57E908B5">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trPr>
        <w:tc>
          <w:tcPr>
            <w:tcW w:w="1074" w:type="dxa"/>
            <w:vMerge w:val="continue"/>
            <w:tcBorders>
              <w:top w:val="nil"/>
              <w:left w:val="single" w:color="000000" w:sz="8" w:space="0"/>
              <w:bottom w:val="single" w:color="000000" w:sz="8" w:space="0"/>
              <w:right w:val="single" w:color="000000" w:sz="8" w:space="0"/>
            </w:tcBorders>
            <w:shd w:val="clear" w:color="auto" w:fill="auto"/>
            <w:vAlign w:val="center"/>
          </w:tcPr>
          <w:p w14:paraId="634A5F68">
            <w:pPr>
              <w:rPr>
                <w:rFonts w:hint="eastAsia" w:ascii="宋体" w:hAnsi="宋体" w:eastAsia="宋体" w:cs="宋体"/>
                <w:b w:val="0"/>
                <w:bCs w:val="0"/>
                <w:sz w:val="18"/>
                <w:szCs w:val="18"/>
                <w:u w:val="none"/>
              </w:rPr>
            </w:pPr>
          </w:p>
        </w:tc>
        <w:tc>
          <w:tcPr>
            <w:tcW w:w="1539" w:type="dxa"/>
            <w:tcBorders>
              <w:top w:val="nil"/>
              <w:left w:val="single" w:color="000000" w:sz="8" w:space="0"/>
              <w:bottom w:val="single" w:color="000000" w:sz="8" w:space="0"/>
              <w:right w:val="single" w:color="000000" w:sz="8" w:space="0"/>
            </w:tcBorders>
            <w:shd w:val="clear" w:color="auto" w:fill="auto"/>
            <w:vAlign w:val="center"/>
          </w:tcPr>
          <w:p w14:paraId="21A22D9D">
            <w:pPr>
              <w:pStyle w:val="2"/>
              <w:keepNext w:val="0"/>
              <w:keepLines w:val="0"/>
              <w:widowControl/>
              <w:suppressLineNumbers w:val="0"/>
              <w:spacing w:line="315" w:lineRule="atLeast"/>
              <w:ind w:left="0" w:leftChars="0" w:right="0" w:rightChars="0"/>
              <w:jc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eastAsia="zh-CN"/>
              </w:rPr>
              <w:t>实训中心</w:t>
            </w:r>
          </w:p>
        </w:tc>
        <w:tc>
          <w:tcPr>
            <w:tcW w:w="672" w:type="dxa"/>
            <w:tcBorders>
              <w:top w:val="nil"/>
              <w:left w:val="single" w:color="000000" w:sz="8" w:space="0"/>
              <w:bottom w:val="single" w:color="000000" w:sz="8" w:space="0"/>
              <w:right w:val="single" w:color="000000" w:sz="8" w:space="0"/>
            </w:tcBorders>
            <w:shd w:val="clear" w:color="auto" w:fill="auto"/>
            <w:vAlign w:val="center"/>
          </w:tcPr>
          <w:p w14:paraId="66F65540">
            <w:pPr>
              <w:pStyle w:val="2"/>
              <w:keepNext w:val="0"/>
              <w:keepLines w:val="0"/>
              <w:widowControl/>
              <w:suppressLineNumbers w:val="0"/>
              <w:spacing w:line="315" w:lineRule="atLeast"/>
              <w:ind w:left="0" w:leftChars="0" w:right="0" w:rightChars="0"/>
              <w:jc w:val="center"/>
              <w:rPr>
                <w:rFonts w:hint="default"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rPr>
              <w:t>3</w:t>
            </w:r>
          </w:p>
        </w:tc>
        <w:tc>
          <w:tcPr>
            <w:tcW w:w="1443" w:type="dxa"/>
            <w:vMerge w:val="continue"/>
            <w:tcBorders>
              <w:top w:val="nil"/>
              <w:left w:val="single" w:color="000000" w:sz="8" w:space="0"/>
              <w:bottom w:val="single" w:color="000000" w:sz="8" w:space="0"/>
              <w:right w:val="single" w:color="000000" w:sz="8" w:space="0"/>
            </w:tcBorders>
            <w:shd w:val="clear" w:color="auto" w:fill="auto"/>
            <w:vAlign w:val="center"/>
          </w:tcPr>
          <w:p w14:paraId="595F9129">
            <w:pPr>
              <w:rPr>
                <w:rFonts w:hint="eastAsia" w:ascii="宋体" w:hAnsi="宋体" w:eastAsia="宋体" w:cs="宋体"/>
                <w:b w:val="0"/>
                <w:bCs w:val="0"/>
                <w:sz w:val="18"/>
                <w:szCs w:val="18"/>
                <w:u w:val="none"/>
              </w:rPr>
            </w:pPr>
          </w:p>
        </w:tc>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23AFE61E">
            <w:pPr>
              <w:rPr>
                <w:rFonts w:hint="eastAsia" w:ascii="宋体" w:hAnsi="宋体" w:eastAsia="宋体" w:cs="宋体"/>
                <w:b w:val="0"/>
                <w:bCs w:val="0"/>
                <w:sz w:val="18"/>
                <w:szCs w:val="18"/>
                <w:u w:val="none"/>
              </w:rPr>
            </w:pP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FA65FDC">
            <w:pPr>
              <w:pStyle w:val="2"/>
              <w:keepNext w:val="0"/>
              <w:keepLines w:val="0"/>
              <w:widowControl/>
              <w:suppressLineNumbers w:val="0"/>
              <w:spacing w:line="315" w:lineRule="atLeast"/>
              <w:jc w:val="center"/>
              <w:rPr>
                <w:rFonts w:hint="eastAsia" w:ascii="仿宋" w:hAnsi="仿宋" w:eastAsia="仿宋" w:cs="仿宋"/>
                <w:b w:val="0"/>
                <w:bCs w:val="0"/>
                <w:color w:val="000000"/>
                <w:kern w:val="0"/>
                <w:sz w:val="21"/>
                <w:szCs w:val="21"/>
                <w:u w:val="none"/>
                <w:lang w:eastAsia="zh-CN"/>
              </w:rPr>
            </w:pPr>
            <w:r>
              <w:rPr>
                <w:rFonts w:hint="eastAsia" w:ascii="仿宋" w:hAnsi="仿宋" w:eastAsia="仿宋" w:cs="仿宋"/>
                <w:b w:val="0"/>
                <w:bCs w:val="0"/>
                <w:color w:val="000000"/>
                <w:kern w:val="0"/>
                <w:sz w:val="21"/>
                <w:szCs w:val="21"/>
                <w:u w:val="none"/>
                <w:lang w:eastAsia="zh-CN"/>
              </w:rPr>
              <w:t>经贸与工商管理学院</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3D6A639D">
            <w:pPr>
              <w:pStyle w:val="2"/>
              <w:keepNext w:val="0"/>
              <w:keepLines w:val="0"/>
              <w:widowControl/>
              <w:suppressLineNumbers w:val="0"/>
              <w:spacing w:line="315" w:lineRule="atLeast"/>
              <w:jc w:val="center"/>
              <w:rPr>
                <w:rFonts w:hint="eastAsia" w:ascii="仿宋" w:hAnsi="仿宋" w:eastAsia="仿宋" w:cs="仿宋"/>
                <w:b w:val="0"/>
                <w:bCs w:val="0"/>
                <w:color w:val="000000"/>
                <w:kern w:val="0"/>
                <w:sz w:val="21"/>
                <w:szCs w:val="21"/>
                <w:u w:val="none"/>
                <w:lang w:val="en-US" w:eastAsia="zh-CN"/>
              </w:rPr>
            </w:pPr>
            <w:r>
              <w:rPr>
                <w:rFonts w:hint="eastAsia" w:ascii="仿宋" w:hAnsi="仿宋" w:eastAsia="仿宋" w:cs="仿宋"/>
                <w:b w:val="0"/>
                <w:bCs w:val="0"/>
                <w:color w:val="000000"/>
                <w:kern w:val="0"/>
                <w:sz w:val="21"/>
                <w:szCs w:val="21"/>
                <w:u w:val="none"/>
                <w:lang w:val="en-US" w:eastAsia="zh-CN"/>
              </w:rPr>
              <w:t>4</w:t>
            </w:r>
          </w:p>
        </w:tc>
        <w:tc>
          <w:tcPr>
            <w:tcW w:w="1662" w:type="dxa"/>
            <w:vMerge w:val="continue"/>
            <w:tcBorders>
              <w:top w:val="nil"/>
              <w:left w:val="single" w:color="000000" w:sz="8" w:space="0"/>
              <w:bottom w:val="single" w:color="000000" w:sz="8" w:space="0"/>
              <w:right w:val="single" w:color="000000" w:sz="8" w:space="0"/>
            </w:tcBorders>
            <w:shd w:val="clear" w:color="auto" w:fill="auto"/>
            <w:vAlign w:val="center"/>
          </w:tcPr>
          <w:p w14:paraId="08E971FA">
            <w:pPr>
              <w:rPr>
                <w:rFonts w:hint="eastAsia" w:ascii="宋体" w:hAnsi="宋体" w:eastAsia="宋体" w:cs="宋体"/>
                <w:b w:val="0"/>
                <w:bCs w:val="0"/>
                <w:sz w:val="18"/>
                <w:szCs w:val="18"/>
                <w:u w:val="none"/>
              </w:rPr>
            </w:pPr>
          </w:p>
        </w:tc>
      </w:tr>
      <w:tr w14:paraId="4E17B18F">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trPr>
        <w:tc>
          <w:tcPr>
            <w:tcW w:w="1074" w:type="dxa"/>
            <w:vMerge w:val="continue"/>
            <w:tcBorders>
              <w:top w:val="nil"/>
              <w:left w:val="single" w:color="000000" w:sz="8" w:space="0"/>
              <w:bottom w:val="single" w:color="000000" w:sz="8" w:space="0"/>
              <w:right w:val="single" w:color="000000" w:sz="8" w:space="0"/>
            </w:tcBorders>
            <w:shd w:val="clear" w:color="auto" w:fill="auto"/>
            <w:vAlign w:val="center"/>
          </w:tcPr>
          <w:p w14:paraId="1EF8753C">
            <w:pPr>
              <w:rPr>
                <w:rFonts w:hint="eastAsia" w:ascii="宋体" w:hAnsi="宋体" w:eastAsia="宋体" w:cs="宋体"/>
                <w:b w:val="0"/>
                <w:bCs w:val="0"/>
                <w:sz w:val="18"/>
                <w:szCs w:val="18"/>
                <w:u w:val="none"/>
              </w:rPr>
            </w:pPr>
          </w:p>
        </w:tc>
        <w:tc>
          <w:tcPr>
            <w:tcW w:w="1539" w:type="dxa"/>
            <w:tcBorders>
              <w:top w:val="nil"/>
              <w:left w:val="single" w:color="000000" w:sz="8" w:space="0"/>
              <w:bottom w:val="single" w:color="000000" w:sz="8" w:space="0"/>
              <w:right w:val="single" w:color="000000" w:sz="8" w:space="0"/>
            </w:tcBorders>
            <w:shd w:val="clear" w:color="auto" w:fill="auto"/>
            <w:vAlign w:val="center"/>
          </w:tcPr>
          <w:p w14:paraId="1D967499">
            <w:pPr>
              <w:pStyle w:val="2"/>
              <w:keepNext w:val="0"/>
              <w:keepLines w:val="0"/>
              <w:widowControl/>
              <w:suppressLineNumbers w:val="0"/>
              <w:spacing w:line="315" w:lineRule="atLeast"/>
              <w:ind w:left="0" w:leftChars="0" w:right="0" w:rightChars="0"/>
              <w:jc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bidi="ar"/>
              </w:rPr>
              <w:t>大学生就业服务指导中心</w:t>
            </w:r>
          </w:p>
        </w:tc>
        <w:tc>
          <w:tcPr>
            <w:tcW w:w="672" w:type="dxa"/>
            <w:tcBorders>
              <w:top w:val="nil"/>
              <w:left w:val="single" w:color="000000" w:sz="8" w:space="0"/>
              <w:bottom w:val="single" w:color="000000" w:sz="8" w:space="0"/>
              <w:right w:val="single" w:color="000000" w:sz="8" w:space="0"/>
            </w:tcBorders>
            <w:shd w:val="clear" w:color="auto" w:fill="auto"/>
            <w:vAlign w:val="center"/>
          </w:tcPr>
          <w:p w14:paraId="553D54BE">
            <w:pPr>
              <w:pStyle w:val="2"/>
              <w:keepNext w:val="0"/>
              <w:keepLines w:val="0"/>
              <w:widowControl/>
              <w:suppressLineNumbers w:val="0"/>
              <w:spacing w:line="315" w:lineRule="atLeast"/>
              <w:ind w:left="0" w:leftChars="0" w:right="0" w:rightChars="0"/>
              <w:jc w:val="center"/>
              <w:rPr>
                <w:rFonts w:hint="default"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bidi="ar"/>
              </w:rPr>
              <w:t>1</w:t>
            </w:r>
          </w:p>
        </w:tc>
        <w:tc>
          <w:tcPr>
            <w:tcW w:w="1443" w:type="dxa"/>
            <w:vMerge w:val="continue"/>
            <w:tcBorders>
              <w:top w:val="nil"/>
              <w:left w:val="single" w:color="000000" w:sz="8" w:space="0"/>
              <w:bottom w:val="single" w:color="000000" w:sz="8" w:space="0"/>
              <w:right w:val="single" w:color="000000" w:sz="8" w:space="0"/>
            </w:tcBorders>
            <w:shd w:val="clear" w:color="auto" w:fill="auto"/>
            <w:vAlign w:val="center"/>
          </w:tcPr>
          <w:p w14:paraId="0695F430">
            <w:pPr>
              <w:rPr>
                <w:rFonts w:hint="eastAsia" w:ascii="宋体" w:hAnsi="宋体" w:eastAsia="宋体" w:cs="宋体"/>
                <w:b w:val="0"/>
                <w:bCs w:val="0"/>
                <w:sz w:val="18"/>
                <w:szCs w:val="18"/>
                <w:u w:val="none"/>
              </w:rPr>
            </w:pPr>
          </w:p>
        </w:tc>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2E286176">
            <w:pPr>
              <w:rPr>
                <w:rFonts w:hint="eastAsia" w:ascii="宋体" w:hAnsi="宋体" w:eastAsia="宋体" w:cs="宋体"/>
                <w:b w:val="0"/>
                <w:bCs w:val="0"/>
                <w:sz w:val="18"/>
                <w:szCs w:val="18"/>
                <w:u w:val="none"/>
              </w:rPr>
            </w:pP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537B8D6">
            <w:pPr>
              <w:pStyle w:val="2"/>
              <w:keepNext w:val="0"/>
              <w:keepLines w:val="0"/>
              <w:widowControl/>
              <w:suppressLineNumbers w:val="0"/>
              <w:spacing w:line="315" w:lineRule="atLeast"/>
              <w:jc w:val="center"/>
              <w:rPr>
                <w:rFonts w:hint="eastAsia" w:ascii="仿宋" w:hAnsi="仿宋" w:eastAsia="仿宋" w:cs="仿宋"/>
                <w:b w:val="0"/>
                <w:bCs w:val="0"/>
                <w:color w:val="000000"/>
                <w:kern w:val="0"/>
                <w:sz w:val="21"/>
                <w:szCs w:val="21"/>
                <w:u w:val="none"/>
                <w:lang w:eastAsia="zh-CN"/>
              </w:rPr>
            </w:pPr>
            <w:r>
              <w:rPr>
                <w:rFonts w:hint="eastAsia" w:ascii="仿宋" w:hAnsi="仿宋" w:eastAsia="仿宋" w:cs="仿宋"/>
                <w:b w:val="0"/>
                <w:bCs w:val="0"/>
                <w:color w:val="000000"/>
                <w:kern w:val="0"/>
                <w:sz w:val="21"/>
                <w:szCs w:val="21"/>
                <w:u w:val="none"/>
                <w:lang w:eastAsia="zh-CN"/>
              </w:rPr>
              <w:t>信息与机电工程学院</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1F4BC383">
            <w:pPr>
              <w:pStyle w:val="2"/>
              <w:keepNext w:val="0"/>
              <w:keepLines w:val="0"/>
              <w:widowControl/>
              <w:suppressLineNumbers w:val="0"/>
              <w:spacing w:line="315" w:lineRule="atLeast"/>
              <w:jc w:val="center"/>
              <w:rPr>
                <w:rFonts w:hint="eastAsia" w:ascii="仿宋" w:hAnsi="仿宋" w:eastAsia="仿宋" w:cs="仿宋"/>
                <w:b w:val="0"/>
                <w:bCs w:val="0"/>
                <w:color w:val="000000"/>
                <w:kern w:val="0"/>
                <w:sz w:val="21"/>
                <w:szCs w:val="21"/>
                <w:u w:val="none"/>
                <w:lang w:val="en-US" w:eastAsia="zh-CN"/>
              </w:rPr>
            </w:pPr>
            <w:r>
              <w:rPr>
                <w:rFonts w:hint="eastAsia" w:ascii="仿宋" w:hAnsi="仿宋" w:eastAsia="仿宋" w:cs="仿宋"/>
                <w:b w:val="0"/>
                <w:bCs w:val="0"/>
                <w:color w:val="000000"/>
                <w:kern w:val="0"/>
                <w:sz w:val="21"/>
                <w:szCs w:val="21"/>
                <w:u w:val="none"/>
                <w:lang w:val="en-US" w:eastAsia="zh-CN"/>
              </w:rPr>
              <w:t>4</w:t>
            </w:r>
          </w:p>
        </w:tc>
        <w:tc>
          <w:tcPr>
            <w:tcW w:w="1662" w:type="dxa"/>
            <w:vMerge w:val="continue"/>
            <w:tcBorders>
              <w:top w:val="nil"/>
              <w:left w:val="single" w:color="000000" w:sz="8" w:space="0"/>
              <w:bottom w:val="single" w:color="000000" w:sz="8" w:space="0"/>
              <w:right w:val="single" w:color="000000" w:sz="8" w:space="0"/>
            </w:tcBorders>
            <w:shd w:val="clear" w:color="auto" w:fill="auto"/>
            <w:vAlign w:val="center"/>
          </w:tcPr>
          <w:p w14:paraId="3101F977">
            <w:pPr>
              <w:rPr>
                <w:rFonts w:hint="eastAsia" w:ascii="宋体" w:hAnsi="宋体" w:eastAsia="宋体" w:cs="宋体"/>
                <w:b w:val="0"/>
                <w:bCs w:val="0"/>
                <w:sz w:val="18"/>
                <w:szCs w:val="18"/>
                <w:u w:val="none"/>
              </w:rPr>
            </w:pPr>
          </w:p>
        </w:tc>
      </w:tr>
      <w:tr w14:paraId="7CA6791A">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trPr>
        <w:tc>
          <w:tcPr>
            <w:tcW w:w="1074" w:type="dxa"/>
            <w:vMerge w:val="continue"/>
            <w:tcBorders>
              <w:top w:val="nil"/>
              <w:left w:val="single" w:color="000000" w:sz="8" w:space="0"/>
              <w:bottom w:val="single" w:color="000000" w:sz="8" w:space="0"/>
              <w:right w:val="single" w:color="000000" w:sz="8" w:space="0"/>
            </w:tcBorders>
            <w:shd w:val="clear" w:color="auto" w:fill="auto"/>
            <w:vAlign w:val="center"/>
          </w:tcPr>
          <w:p w14:paraId="36734FEC">
            <w:pPr>
              <w:rPr>
                <w:rFonts w:hint="eastAsia" w:ascii="宋体" w:hAnsi="宋体" w:eastAsia="宋体" w:cs="宋体"/>
                <w:b w:val="0"/>
                <w:bCs w:val="0"/>
                <w:sz w:val="18"/>
                <w:szCs w:val="18"/>
                <w:u w:val="none"/>
              </w:rPr>
            </w:pPr>
          </w:p>
        </w:tc>
        <w:tc>
          <w:tcPr>
            <w:tcW w:w="1539" w:type="dxa"/>
            <w:tcBorders>
              <w:top w:val="nil"/>
              <w:left w:val="single" w:color="000000" w:sz="8" w:space="0"/>
              <w:bottom w:val="single" w:color="000000" w:sz="8" w:space="0"/>
              <w:right w:val="single" w:color="000000" w:sz="8" w:space="0"/>
            </w:tcBorders>
            <w:shd w:val="clear" w:color="auto" w:fill="auto"/>
            <w:vAlign w:val="center"/>
          </w:tcPr>
          <w:p w14:paraId="75CCFE60">
            <w:pPr>
              <w:pStyle w:val="2"/>
              <w:keepNext w:val="0"/>
              <w:keepLines w:val="0"/>
              <w:widowControl/>
              <w:suppressLineNumbers w:val="0"/>
              <w:spacing w:line="315" w:lineRule="atLeast"/>
              <w:ind w:left="0" w:leftChars="0" w:right="0" w:rightChars="0"/>
              <w:jc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bidi="ar"/>
              </w:rPr>
              <w:t>大学生创新创业服务中心</w:t>
            </w:r>
          </w:p>
        </w:tc>
        <w:tc>
          <w:tcPr>
            <w:tcW w:w="672" w:type="dxa"/>
            <w:tcBorders>
              <w:top w:val="nil"/>
              <w:left w:val="single" w:color="000000" w:sz="8" w:space="0"/>
              <w:bottom w:val="single" w:color="000000" w:sz="8" w:space="0"/>
              <w:right w:val="single" w:color="000000" w:sz="8" w:space="0"/>
            </w:tcBorders>
            <w:shd w:val="clear" w:color="auto" w:fill="auto"/>
            <w:vAlign w:val="center"/>
          </w:tcPr>
          <w:p w14:paraId="406ADBA2">
            <w:pPr>
              <w:pStyle w:val="2"/>
              <w:keepNext w:val="0"/>
              <w:keepLines w:val="0"/>
              <w:widowControl/>
              <w:suppressLineNumbers w:val="0"/>
              <w:spacing w:line="315" w:lineRule="atLeast"/>
              <w:ind w:left="0" w:leftChars="0" w:right="0" w:rightChars="0"/>
              <w:jc w:val="center"/>
              <w:rPr>
                <w:rFonts w:hint="default" w:ascii="仿宋" w:hAnsi="仿宋" w:eastAsia="仿宋" w:cs="仿宋"/>
                <w:b w:val="0"/>
                <w:bCs w:val="0"/>
                <w:color w:val="000000"/>
                <w:kern w:val="0"/>
                <w:sz w:val="21"/>
                <w:szCs w:val="21"/>
                <w:u w:val="none"/>
                <w:lang w:val="en-US" w:eastAsia="zh-CN"/>
              </w:rPr>
            </w:pPr>
            <w:r>
              <w:rPr>
                <w:rFonts w:hint="eastAsia" w:ascii="仿宋" w:hAnsi="仿宋" w:eastAsia="仿宋" w:cs="仿宋"/>
                <w:b w:val="0"/>
                <w:bCs w:val="0"/>
                <w:color w:val="000000"/>
                <w:kern w:val="0"/>
                <w:sz w:val="21"/>
                <w:szCs w:val="21"/>
                <w:u w:val="none"/>
                <w:lang w:val="en-US" w:eastAsia="zh-CN"/>
              </w:rPr>
              <w:t>1</w:t>
            </w:r>
          </w:p>
        </w:tc>
        <w:tc>
          <w:tcPr>
            <w:tcW w:w="1443" w:type="dxa"/>
            <w:vMerge w:val="continue"/>
            <w:tcBorders>
              <w:top w:val="nil"/>
              <w:left w:val="single" w:color="000000" w:sz="8" w:space="0"/>
              <w:bottom w:val="single" w:color="000000" w:sz="8" w:space="0"/>
              <w:right w:val="single" w:color="000000" w:sz="8" w:space="0"/>
            </w:tcBorders>
            <w:shd w:val="clear" w:color="auto" w:fill="auto"/>
            <w:vAlign w:val="center"/>
          </w:tcPr>
          <w:p w14:paraId="5FEBAD18">
            <w:pPr>
              <w:rPr>
                <w:rFonts w:hint="eastAsia" w:ascii="宋体" w:hAnsi="宋体" w:eastAsia="宋体" w:cs="宋体"/>
                <w:b w:val="0"/>
                <w:bCs w:val="0"/>
                <w:sz w:val="18"/>
                <w:szCs w:val="18"/>
                <w:u w:val="none"/>
              </w:rPr>
            </w:pPr>
          </w:p>
        </w:tc>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3B8212A1">
            <w:pPr>
              <w:rPr>
                <w:rFonts w:hint="eastAsia" w:ascii="宋体" w:hAnsi="宋体" w:eastAsia="宋体" w:cs="宋体"/>
                <w:b w:val="0"/>
                <w:bCs w:val="0"/>
                <w:sz w:val="18"/>
                <w:szCs w:val="18"/>
                <w:u w:val="none"/>
              </w:rPr>
            </w:pP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A013A58">
            <w:pPr>
              <w:pStyle w:val="2"/>
              <w:keepNext w:val="0"/>
              <w:keepLines w:val="0"/>
              <w:widowControl/>
              <w:suppressLineNumbers w:val="0"/>
              <w:spacing w:line="315" w:lineRule="atLeast"/>
              <w:jc w:val="center"/>
              <w:rPr>
                <w:rFonts w:hint="eastAsia" w:ascii="仿宋" w:hAnsi="仿宋" w:eastAsia="仿宋" w:cs="仿宋"/>
                <w:b w:val="0"/>
                <w:bCs w:val="0"/>
                <w:color w:val="000000"/>
                <w:kern w:val="0"/>
                <w:sz w:val="21"/>
                <w:szCs w:val="21"/>
                <w:u w:val="none"/>
                <w:lang w:eastAsia="zh-CN"/>
              </w:rPr>
            </w:pPr>
            <w:r>
              <w:rPr>
                <w:rFonts w:hint="eastAsia" w:ascii="仿宋" w:hAnsi="仿宋" w:eastAsia="仿宋" w:cs="仿宋"/>
                <w:b w:val="0"/>
                <w:bCs w:val="0"/>
                <w:color w:val="000000"/>
                <w:kern w:val="0"/>
                <w:sz w:val="21"/>
                <w:szCs w:val="21"/>
                <w:u w:val="none"/>
                <w:lang w:eastAsia="zh-CN"/>
              </w:rPr>
              <w:t>建筑与陶瓷设计学院</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11B6B282">
            <w:pPr>
              <w:pStyle w:val="2"/>
              <w:keepNext w:val="0"/>
              <w:keepLines w:val="0"/>
              <w:widowControl/>
              <w:suppressLineNumbers w:val="0"/>
              <w:spacing w:line="315" w:lineRule="atLeast"/>
              <w:jc w:val="center"/>
              <w:rPr>
                <w:rFonts w:hint="eastAsia" w:ascii="仿宋" w:hAnsi="仿宋" w:eastAsia="仿宋" w:cs="仿宋"/>
                <w:b w:val="0"/>
                <w:bCs w:val="0"/>
                <w:color w:val="000000"/>
                <w:kern w:val="0"/>
                <w:sz w:val="21"/>
                <w:szCs w:val="21"/>
                <w:u w:val="none"/>
                <w:lang w:val="en-US" w:eastAsia="zh-CN"/>
              </w:rPr>
            </w:pPr>
            <w:r>
              <w:rPr>
                <w:rFonts w:hint="eastAsia" w:ascii="仿宋" w:hAnsi="仿宋" w:eastAsia="仿宋" w:cs="仿宋"/>
                <w:b w:val="0"/>
                <w:bCs w:val="0"/>
                <w:color w:val="000000"/>
                <w:kern w:val="0"/>
                <w:sz w:val="21"/>
                <w:szCs w:val="21"/>
                <w:u w:val="none"/>
                <w:lang w:val="en-US" w:eastAsia="zh-CN"/>
              </w:rPr>
              <w:t>4</w:t>
            </w:r>
          </w:p>
        </w:tc>
        <w:tc>
          <w:tcPr>
            <w:tcW w:w="1662" w:type="dxa"/>
            <w:vMerge w:val="continue"/>
            <w:tcBorders>
              <w:top w:val="nil"/>
              <w:left w:val="single" w:color="000000" w:sz="8" w:space="0"/>
              <w:bottom w:val="single" w:color="000000" w:sz="8" w:space="0"/>
              <w:right w:val="single" w:color="000000" w:sz="8" w:space="0"/>
            </w:tcBorders>
            <w:shd w:val="clear" w:color="auto" w:fill="auto"/>
            <w:vAlign w:val="center"/>
          </w:tcPr>
          <w:p w14:paraId="0E74318F">
            <w:pPr>
              <w:rPr>
                <w:rFonts w:hint="eastAsia" w:ascii="宋体" w:hAnsi="宋体" w:eastAsia="宋体" w:cs="宋体"/>
                <w:b w:val="0"/>
                <w:bCs w:val="0"/>
                <w:sz w:val="18"/>
                <w:szCs w:val="18"/>
                <w:u w:val="none"/>
              </w:rPr>
            </w:pPr>
          </w:p>
        </w:tc>
      </w:tr>
      <w:tr w14:paraId="2B585604">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trPr>
        <w:tc>
          <w:tcPr>
            <w:tcW w:w="1074" w:type="dxa"/>
            <w:vMerge w:val="continue"/>
            <w:tcBorders>
              <w:top w:val="nil"/>
              <w:left w:val="single" w:color="000000" w:sz="8" w:space="0"/>
              <w:bottom w:val="single" w:color="000000" w:sz="8" w:space="0"/>
              <w:right w:val="single" w:color="000000" w:sz="8" w:space="0"/>
            </w:tcBorders>
            <w:shd w:val="clear" w:color="auto" w:fill="auto"/>
            <w:vAlign w:val="center"/>
          </w:tcPr>
          <w:p w14:paraId="368DFD17">
            <w:pPr>
              <w:rPr>
                <w:rFonts w:hint="eastAsia" w:ascii="宋体" w:hAnsi="宋体" w:eastAsia="宋体" w:cs="宋体"/>
                <w:b w:val="0"/>
                <w:bCs w:val="0"/>
                <w:sz w:val="18"/>
                <w:szCs w:val="18"/>
                <w:u w:val="none"/>
              </w:rPr>
            </w:pPr>
          </w:p>
        </w:tc>
        <w:tc>
          <w:tcPr>
            <w:tcW w:w="1539" w:type="dxa"/>
            <w:tcBorders>
              <w:top w:val="nil"/>
              <w:left w:val="single" w:color="000000" w:sz="8" w:space="0"/>
              <w:bottom w:val="single" w:color="000000" w:sz="8" w:space="0"/>
              <w:right w:val="single" w:color="000000" w:sz="8" w:space="0"/>
            </w:tcBorders>
            <w:shd w:val="clear" w:color="auto" w:fill="auto"/>
            <w:vAlign w:val="center"/>
          </w:tcPr>
          <w:p w14:paraId="51AF51C3">
            <w:pPr>
              <w:pStyle w:val="2"/>
              <w:keepNext w:val="0"/>
              <w:keepLines w:val="0"/>
              <w:widowControl/>
              <w:suppressLineNumbers w:val="0"/>
              <w:spacing w:line="315" w:lineRule="atLeast"/>
              <w:ind w:left="0" w:leftChars="0" w:right="0" w:rightChars="0"/>
              <w:jc w:val="center"/>
              <w:rPr>
                <w:rFonts w:hint="default"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eastAsia="zh-CN"/>
              </w:rPr>
              <w:t>招生办公室</w:t>
            </w:r>
          </w:p>
        </w:tc>
        <w:tc>
          <w:tcPr>
            <w:tcW w:w="672" w:type="dxa"/>
            <w:tcBorders>
              <w:top w:val="nil"/>
              <w:left w:val="single" w:color="000000" w:sz="8" w:space="0"/>
              <w:bottom w:val="single" w:color="000000" w:sz="8" w:space="0"/>
              <w:right w:val="single" w:color="000000" w:sz="8" w:space="0"/>
            </w:tcBorders>
            <w:shd w:val="clear" w:color="auto" w:fill="auto"/>
            <w:vAlign w:val="center"/>
          </w:tcPr>
          <w:p w14:paraId="64900188">
            <w:pPr>
              <w:pStyle w:val="2"/>
              <w:keepNext w:val="0"/>
              <w:keepLines w:val="0"/>
              <w:widowControl/>
              <w:suppressLineNumbers w:val="0"/>
              <w:spacing w:line="315" w:lineRule="atLeast"/>
              <w:ind w:left="0" w:leftChars="0" w:right="0" w:rightChars="0"/>
              <w:jc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rPr>
              <w:t>3</w:t>
            </w:r>
          </w:p>
        </w:tc>
        <w:tc>
          <w:tcPr>
            <w:tcW w:w="1443" w:type="dxa"/>
            <w:vMerge w:val="continue"/>
            <w:tcBorders>
              <w:top w:val="nil"/>
              <w:left w:val="single" w:color="000000" w:sz="8" w:space="0"/>
              <w:bottom w:val="single" w:color="000000" w:sz="8" w:space="0"/>
              <w:right w:val="single" w:color="000000" w:sz="8" w:space="0"/>
            </w:tcBorders>
            <w:shd w:val="clear" w:color="auto" w:fill="auto"/>
            <w:vAlign w:val="center"/>
          </w:tcPr>
          <w:p w14:paraId="1F6EB23E">
            <w:pPr>
              <w:rPr>
                <w:rFonts w:hint="eastAsia" w:ascii="宋体" w:hAnsi="宋体" w:eastAsia="宋体" w:cs="宋体"/>
                <w:b w:val="0"/>
                <w:bCs w:val="0"/>
                <w:sz w:val="18"/>
                <w:szCs w:val="18"/>
                <w:u w:val="none"/>
              </w:rPr>
            </w:pPr>
          </w:p>
        </w:tc>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7BAA9323">
            <w:pPr>
              <w:rPr>
                <w:rFonts w:hint="eastAsia" w:ascii="宋体" w:hAnsi="宋体" w:eastAsia="宋体" w:cs="宋体"/>
                <w:b w:val="0"/>
                <w:bCs w:val="0"/>
                <w:sz w:val="18"/>
                <w:szCs w:val="18"/>
                <w:u w:val="none"/>
              </w:rPr>
            </w:pP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B9DE804">
            <w:pPr>
              <w:pStyle w:val="2"/>
              <w:keepNext w:val="0"/>
              <w:keepLines w:val="0"/>
              <w:widowControl/>
              <w:suppressLineNumbers w:val="0"/>
              <w:spacing w:line="315" w:lineRule="atLeast"/>
              <w:jc w:val="center"/>
              <w:rPr>
                <w:rFonts w:hint="eastAsia" w:ascii="仿宋" w:hAnsi="仿宋" w:eastAsia="仿宋" w:cs="仿宋"/>
                <w:b w:val="0"/>
                <w:bCs w:val="0"/>
                <w:color w:val="000000"/>
                <w:kern w:val="0"/>
                <w:sz w:val="21"/>
                <w:szCs w:val="21"/>
                <w:u w:val="none"/>
                <w:lang w:eastAsia="zh-CN"/>
              </w:rPr>
            </w:pPr>
            <w:r>
              <w:rPr>
                <w:rFonts w:hint="eastAsia" w:ascii="仿宋" w:hAnsi="仿宋" w:eastAsia="仿宋" w:cs="仿宋"/>
                <w:b w:val="0"/>
                <w:bCs w:val="0"/>
                <w:color w:val="000000"/>
                <w:kern w:val="0"/>
                <w:sz w:val="21"/>
                <w:szCs w:val="21"/>
                <w:u w:val="none"/>
                <w:lang w:eastAsia="zh-CN"/>
              </w:rPr>
              <w:t>五年制专科部</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773BC256">
            <w:pPr>
              <w:pStyle w:val="2"/>
              <w:keepNext w:val="0"/>
              <w:keepLines w:val="0"/>
              <w:widowControl/>
              <w:suppressLineNumbers w:val="0"/>
              <w:spacing w:line="315" w:lineRule="atLeast"/>
              <w:jc w:val="center"/>
              <w:rPr>
                <w:rFonts w:hint="eastAsia" w:ascii="仿宋" w:hAnsi="仿宋" w:eastAsia="仿宋" w:cs="仿宋"/>
                <w:b w:val="0"/>
                <w:bCs w:val="0"/>
                <w:color w:val="000000"/>
                <w:kern w:val="0"/>
                <w:sz w:val="21"/>
                <w:szCs w:val="21"/>
                <w:u w:val="none"/>
                <w:lang w:val="en-US" w:eastAsia="zh-CN"/>
              </w:rPr>
            </w:pPr>
            <w:r>
              <w:rPr>
                <w:rFonts w:hint="eastAsia" w:ascii="仿宋" w:hAnsi="仿宋" w:eastAsia="仿宋" w:cs="仿宋"/>
                <w:b w:val="0"/>
                <w:bCs w:val="0"/>
                <w:color w:val="000000"/>
                <w:kern w:val="0"/>
                <w:sz w:val="21"/>
                <w:szCs w:val="21"/>
                <w:u w:val="none"/>
                <w:lang w:val="en-US" w:eastAsia="zh-CN"/>
              </w:rPr>
              <w:t>2</w:t>
            </w:r>
          </w:p>
        </w:tc>
        <w:tc>
          <w:tcPr>
            <w:tcW w:w="1662" w:type="dxa"/>
            <w:vMerge w:val="continue"/>
            <w:tcBorders>
              <w:top w:val="nil"/>
              <w:left w:val="single" w:color="000000" w:sz="8" w:space="0"/>
              <w:bottom w:val="single" w:color="000000" w:sz="8" w:space="0"/>
              <w:right w:val="single" w:color="000000" w:sz="8" w:space="0"/>
            </w:tcBorders>
            <w:shd w:val="clear" w:color="auto" w:fill="auto"/>
            <w:vAlign w:val="center"/>
          </w:tcPr>
          <w:p w14:paraId="02BAD18D">
            <w:pPr>
              <w:rPr>
                <w:rFonts w:hint="eastAsia" w:ascii="宋体" w:hAnsi="宋体" w:eastAsia="宋体" w:cs="宋体"/>
                <w:b w:val="0"/>
                <w:bCs w:val="0"/>
                <w:sz w:val="18"/>
                <w:szCs w:val="18"/>
                <w:u w:val="none"/>
              </w:rPr>
            </w:pPr>
          </w:p>
        </w:tc>
      </w:tr>
      <w:tr w14:paraId="1F83B558">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trPr>
        <w:tc>
          <w:tcPr>
            <w:tcW w:w="1074" w:type="dxa"/>
            <w:vMerge w:val="continue"/>
            <w:tcBorders>
              <w:top w:val="nil"/>
              <w:left w:val="single" w:color="000000" w:sz="8" w:space="0"/>
              <w:bottom w:val="single" w:color="000000" w:sz="8" w:space="0"/>
              <w:right w:val="single" w:color="000000" w:sz="8" w:space="0"/>
            </w:tcBorders>
            <w:shd w:val="clear" w:color="auto" w:fill="auto"/>
            <w:vAlign w:val="center"/>
          </w:tcPr>
          <w:p w14:paraId="355E16B4">
            <w:pPr>
              <w:rPr>
                <w:rFonts w:hint="eastAsia" w:ascii="宋体" w:hAnsi="宋体" w:eastAsia="宋体" w:cs="宋体"/>
                <w:b w:val="0"/>
                <w:bCs w:val="0"/>
                <w:sz w:val="18"/>
                <w:szCs w:val="18"/>
                <w:u w:val="none"/>
              </w:rPr>
            </w:pPr>
          </w:p>
        </w:tc>
        <w:tc>
          <w:tcPr>
            <w:tcW w:w="1539" w:type="dxa"/>
            <w:tcBorders>
              <w:top w:val="nil"/>
              <w:left w:val="single" w:color="000000" w:sz="8" w:space="0"/>
              <w:bottom w:val="single" w:color="000000" w:sz="8" w:space="0"/>
              <w:right w:val="single" w:color="000000" w:sz="8" w:space="0"/>
            </w:tcBorders>
            <w:shd w:val="clear" w:color="auto" w:fill="auto"/>
            <w:vAlign w:val="center"/>
          </w:tcPr>
          <w:p w14:paraId="6CBE5475">
            <w:pPr>
              <w:pStyle w:val="2"/>
              <w:keepNext w:val="0"/>
              <w:keepLines w:val="0"/>
              <w:widowControl/>
              <w:suppressLineNumbers w:val="0"/>
              <w:spacing w:line="315" w:lineRule="atLeast"/>
              <w:ind w:left="0" w:leftChars="0" w:right="0" w:rightChars="0"/>
              <w:jc w:val="center"/>
              <w:rPr>
                <w:rFonts w:hint="default"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bidi="ar"/>
              </w:rPr>
              <w:t>总务处</w:t>
            </w:r>
          </w:p>
        </w:tc>
        <w:tc>
          <w:tcPr>
            <w:tcW w:w="672" w:type="dxa"/>
            <w:tcBorders>
              <w:top w:val="nil"/>
              <w:left w:val="single" w:color="000000" w:sz="8" w:space="0"/>
              <w:bottom w:val="single" w:color="000000" w:sz="8" w:space="0"/>
              <w:right w:val="single" w:color="000000" w:sz="8" w:space="0"/>
            </w:tcBorders>
            <w:shd w:val="clear" w:color="auto" w:fill="auto"/>
            <w:vAlign w:val="center"/>
          </w:tcPr>
          <w:p w14:paraId="2EA7F736">
            <w:pPr>
              <w:pStyle w:val="2"/>
              <w:keepNext w:val="0"/>
              <w:keepLines w:val="0"/>
              <w:widowControl/>
              <w:suppressLineNumbers w:val="0"/>
              <w:spacing w:line="315" w:lineRule="atLeast"/>
              <w:ind w:left="0" w:leftChars="0" w:right="0" w:rightChars="0"/>
              <w:jc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rPr>
              <w:t>7</w:t>
            </w:r>
          </w:p>
        </w:tc>
        <w:tc>
          <w:tcPr>
            <w:tcW w:w="1443" w:type="dxa"/>
            <w:vMerge w:val="continue"/>
            <w:tcBorders>
              <w:top w:val="nil"/>
              <w:left w:val="single" w:color="000000" w:sz="8" w:space="0"/>
              <w:bottom w:val="single" w:color="000000" w:sz="8" w:space="0"/>
              <w:right w:val="single" w:color="000000" w:sz="8" w:space="0"/>
            </w:tcBorders>
            <w:shd w:val="clear" w:color="auto" w:fill="auto"/>
            <w:vAlign w:val="center"/>
          </w:tcPr>
          <w:p w14:paraId="45471203">
            <w:pPr>
              <w:rPr>
                <w:rFonts w:hint="eastAsia" w:ascii="宋体" w:hAnsi="宋体" w:eastAsia="宋体" w:cs="宋体"/>
                <w:b w:val="0"/>
                <w:bCs w:val="0"/>
                <w:sz w:val="18"/>
                <w:szCs w:val="18"/>
                <w:u w:val="none"/>
              </w:rPr>
            </w:pPr>
          </w:p>
        </w:tc>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4B08A5B5">
            <w:pPr>
              <w:rPr>
                <w:rFonts w:hint="eastAsia" w:ascii="宋体" w:hAnsi="宋体" w:eastAsia="宋体" w:cs="宋体"/>
                <w:b w:val="0"/>
                <w:bCs w:val="0"/>
                <w:sz w:val="18"/>
                <w:szCs w:val="18"/>
                <w:u w:val="none"/>
              </w:rPr>
            </w:pP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45C809E">
            <w:pPr>
              <w:pStyle w:val="2"/>
              <w:keepNext w:val="0"/>
              <w:keepLines w:val="0"/>
              <w:widowControl/>
              <w:suppressLineNumbers w:val="0"/>
              <w:spacing w:line="315" w:lineRule="atLeast"/>
              <w:jc w:val="center"/>
              <w:rPr>
                <w:rFonts w:hint="default" w:ascii="仿宋" w:hAnsi="仿宋" w:eastAsia="仿宋" w:cs="仿宋"/>
                <w:b w:val="0"/>
                <w:bCs w:val="0"/>
                <w:color w:val="000000"/>
                <w:kern w:val="0"/>
                <w:sz w:val="21"/>
                <w:szCs w:val="21"/>
                <w:u w:val="none"/>
                <w:lang w:val="en-US" w:eastAsia="zh-CN"/>
              </w:rPr>
            </w:pPr>
            <w:r>
              <w:rPr>
                <w:rFonts w:hint="eastAsia" w:ascii="仿宋" w:hAnsi="仿宋" w:eastAsia="仿宋" w:cs="仿宋"/>
                <w:b w:val="0"/>
                <w:bCs w:val="0"/>
                <w:color w:val="000000"/>
                <w:kern w:val="0"/>
                <w:sz w:val="21"/>
                <w:szCs w:val="21"/>
                <w:u w:val="none"/>
                <w:lang w:val="en-US" w:eastAsia="zh-CN"/>
              </w:rPr>
              <w:t>马克思主义学院</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4577BC72">
            <w:pPr>
              <w:pStyle w:val="2"/>
              <w:keepNext w:val="0"/>
              <w:keepLines w:val="0"/>
              <w:widowControl/>
              <w:suppressLineNumbers w:val="0"/>
              <w:spacing w:line="315" w:lineRule="atLeast"/>
              <w:jc w:val="center"/>
              <w:rPr>
                <w:rFonts w:hint="default" w:ascii="仿宋" w:hAnsi="仿宋" w:eastAsia="仿宋" w:cs="仿宋"/>
                <w:b w:val="0"/>
                <w:bCs w:val="0"/>
                <w:color w:val="000000"/>
                <w:kern w:val="0"/>
                <w:sz w:val="21"/>
                <w:szCs w:val="21"/>
                <w:u w:val="none"/>
                <w:lang w:val="en-US" w:eastAsia="zh-CN"/>
              </w:rPr>
            </w:pPr>
            <w:r>
              <w:rPr>
                <w:rFonts w:hint="eastAsia" w:ascii="仿宋" w:hAnsi="仿宋" w:eastAsia="仿宋" w:cs="仿宋"/>
                <w:b w:val="0"/>
                <w:bCs w:val="0"/>
                <w:color w:val="000000"/>
                <w:kern w:val="0"/>
                <w:sz w:val="21"/>
                <w:szCs w:val="21"/>
                <w:u w:val="none"/>
                <w:lang w:val="en-US" w:eastAsia="zh-CN"/>
              </w:rPr>
              <w:t>1</w:t>
            </w:r>
          </w:p>
        </w:tc>
        <w:tc>
          <w:tcPr>
            <w:tcW w:w="1662" w:type="dxa"/>
            <w:vMerge w:val="continue"/>
            <w:tcBorders>
              <w:top w:val="nil"/>
              <w:left w:val="single" w:color="000000" w:sz="8" w:space="0"/>
              <w:bottom w:val="single" w:color="000000" w:sz="8" w:space="0"/>
              <w:right w:val="single" w:color="000000" w:sz="8" w:space="0"/>
            </w:tcBorders>
            <w:shd w:val="clear" w:color="auto" w:fill="auto"/>
            <w:vAlign w:val="center"/>
          </w:tcPr>
          <w:p w14:paraId="5149C5E3">
            <w:pPr>
              <w:rPr>
                <w:rFonts w:hint="eastAsia" w:ascii="宋体" w:hAnsi="宋体" w:eastAsia="宋体" w:cs="宋体"/>
                <w:b w:val="0"/>
                <w:bCs w:val="0"/>
                <w:sz w:val="18"/>
                <w:szCs w:val="18"/>
                <w:u w:val="none"/>
              </w:rPr>
            </w:pPr>
          </w:p>
        </w:tc>
      </w:tr>
      <w:tr w14:paraId="767F7DFE">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trPr>
        <w:tc>
          <w:tcPr>
            <w:tcW w:w="1074" w:type="dxa"/>
            <w:vMerge w:val="continue"/>
            <w:tcBorders>
              <w:top w:val="nil"/>
              <w:left w:val="single" w:color="000000" w:sz="8" w:space="0"/>
              <w:bottom w:val="single" w:color="000000" w:sz="8" w:space="0"/>
              <w:right w:val="single" w:color="000000" w:sz="8" w:space="0"/>
            </w:tcBorders>
            <w:shd w:val="clear" w:color="auto" w:fill="auto"/>
            <w:vAlign w:val="center"/>
          </w:tcPr>
          <w:p w14:paraId="4FA8F758">
            <w:pPr>
              <w:rPr>
                <w:rFonts w:hint="eastAsia" w:ascii="宋体" w:hAnsi="宋体" w:eastAsia="宋体" w:cs="宋体"/>
                <w:b w:val="0"/>
                <w:bCs w:val="0"/>
                <w:sz w:val="18"/>
                <w:szCs w:val="18"/>
                <w:u w:val="none"/>
              </w:rPr>
            </w:pPr>
          </w:p>
        </w:tc>
        <w:tc>
          <w:tcPr>
            <w:tcW w:w="1539" w:type="dxa"/>
            <w:tcBorders>
              <w:top w:val="nil"/>
              <w:left w:val="single" w:color="000000" w:sz="8" w:space="0"/>
              <w:bottom w:val="single" w:color="000000" w:sz="8" w:space="0"/>
              <w:right w:val="single" w:color="000000" w:sz="8" w:space="0"/>
            </w:tcBorders>
            <w:shd w:val="clear" w:color="auto" w:fill="auto"/>
            <w:vAlign w:val="center"/>
          </w:tcPr>
          <w:p w14:paraId="76C22767">
            <w:pPr>
              <w:pStyle w:val="2"/>
              <w:keepNext w:val="0"/>
              <w:keepLines w:val="0"/>
              <w:widowControl/>
              <w:suppressLineNumbers w:val="0"/>
              <w:spacing w:line="315" w:lineRule="atLeast"/>
              <w:ind w:left="0" w:leftChars="0" w:right="0" w:rightChars="0"/>
              <w:jc w:val="center"/>
              <w:rPr>
                <w:rFonts w:hint="default"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bidi="ar"/>
              </w:rPr>
              <w:t>保卫处</w:t>
            </w:r>
          </w:p>
        </w:tc>
        <w:tc>
          <w:tcPr>
            <w:tcW w:w="672" w:type="dxa"/>
            <w:tcBorders>
              <w:top w:val="nil"/>
              <w:left w:val="single" w:color="000000" w:sz="8" w:space="0"/>
              <w:bottom w:val="single" w:color="000000" w:sz="8" w:space="0"/>
              <w:right w:val="single" w:color="000000" w:sz="8" w:space="0"/>
            </w:tcBorders>
            <w:shd w:val="clear" w:color="auto" w:fill="auto"/>
            <w:vAlign w:val="center"/>
          </w:tcPr>
          <w:p w14:paraId="74D7414B">
            <w:pPr>
              <w:pStyle w:val="2"/>
              <w:keepNext w:val="0"/>
              <w:keepLines w:val="0"/>
              <w:widowControl/>
              <w:suppressLineNumbers w:val="0"/>
              <w:spacing w:line="315" w:lineRule="atLeast"/>
              <w:ind w:left="0" w:leftChars="0" w:right="0" w:rightChars="0"/>
              <w:jc w:val="center"/>
              <w:rPr>
                <w:rFonts w:hint="default" w:ascii="仿宋" w:hAnsi="仿宋" w:eastAsia="仿宋" w:cs="仿宋"/>
                <w:b w:val="0"/>
                <w:bCs w:val="0"/>
                <w:color w:val="000000"/>
                <w:kern w:val="0"/>
                <w:sz w:val="21"/>
                <w:szCs w:val="21"/>
                <w:u w:val="none"/>
                <w:lang w:val="en-US" w:eastAsia="zh-CN"/>
              </w:rPr>
            </w:pPr>
            <w:r>
              <w:rPr>
                <w:rFonts w:hint="eastAsia" w:ascii="仿宋" w:hAnsi="仿宋" w:eastAsia="仿宋" w:cs="仿宋"/>
                <w:b w:val="0"/>
                <w:bCs w:val="0"/>
                <w:color w:val="000000"/>
                <w:kern w:val="0"/>
                <w:sz w:val="21"/>
                <w:szCs w:val="21"/>
                <w:u w:val="none"/>
                <w:lang w:val="en-US" w:eastAsia="zh-CN"/>
              </w:rPr>
              <w:t>5</w:t>
            </w:r>
          </w:p>
        </w:tc>
        <w:tc>
          <w:tcPr>
            <w:tcW w:w="1443" w:type="dxa"/>
            <w:vMerge w:val="continue"/>
            <w:tcBorders>
              <w:top w:val="nil"/>
              <w:left w:val="single" w:color="000000" w:sz="8" w:space="0"/>
              <w:bottom w:val="single" w:color="000000" w:sz="8" w:space="0"/>
              <w:right w:val="single" w:color="000000" w:sz="8" w:space="0"/>
            </w:tcBorders>
            <w:shd w:val="clear" w:color="auto" w:fill="auto"/>
            <w:vAlign w:val="center"/>
          </w:tcPr>
          <w:p w14:paraId="70CC98D5">
            <w:pPr>
              <w:rPr>
                <w:rFonts w:hint="eastAsia" w:ascii="宋体" w:hAnsi="宋体" w:eastAsia="宋体" w:cs="宋体"/>
                <w:b w:val="0"/>
                <w:bCs w:val="0"/>
                <w:sz w:val="18"/>
                <w:szCs w:val="18"/>
                <w:u w:val="none"/>
              </w:rPr>
            </w:pPr>
          </w:p>
        </w:tc>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76AFC5BF">
            <w:pPr>
              <w:rPr>
                <w:rFonts w:hint="eastAsia" w:ascii="宋体" w:hAnsi="宋体" w:eastAsia="宋体" w:cs="宋体"/>
                <w:b w:val="0"/>
                <w:bCs w:val="0"/>
                <w:sz w:val="18"/>
                <w:szCs w:val="18"/>
                <w:u w:val="none"/>
              </w:rPr>
            </w:pP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9D23112">
            <w:pPr>
              <w:pStyle w:val="2"/>
              <w:keepNext w:val="0"/>
              <w:keepLines w:val="0"/>
              <w:widowControl/>
              <w:suppressLineNumbers w:val="0"/>
              <w:spacing w:line="315" w:lineRule="atLeast"/>
              <w:jc w:val="center"/>
              <w:rPr>
                <w:rFonts w:hint="eastAsia" w:ascii="仿宋" w:hAnsi="仿宋" w:eastAsia="仿宋" w:cs="仿宋"/>
                <w:b w:val="0"/>
                <w:bCs w:val="0"/>
                <w:color w:val="000000"/>
                <w:kern w:val="0"/>
                <w:sz w:val="21"/>
                <w:szCs w:val="21"/>
                <w:u w:val="none"/>
                <w:lang w:val="en-US" w:eastAsia="zh-CN" w:bidi="ar-SA"/>
              </w:rPr>
            </w:pPr>
            <w:r>
              <w:rPr>
                <w:rFonts w:hint="eastAsia" w:ascii="仿宋" w:hAnsi="仿宋" w:eastAsia="仿宋" w:cs="仿宋"/>
                <w:b w:val="0"/>
                <w:bCs w:val="0"/>
                <w:color w:val="000000"/>
                <w:kern w:val="0"/>
                <w:sz w:val="21"/>
                <w:szCs w:val="21"/>
                <w:u w:val="none"/>
                <w:lang w:eastAsia="zh-CN"/>
              </w:rPr>
              <w:t>公共基础教学部</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2BB9265B">
            <w:pPr>
              <w:pStyle w:val="2"/>
              <w:keepNext w:val="0"/>
              <w:keepLines w:val="0"/>
              <w:widowControl/>
              <w:suppressLineNumbers w:val="0"/>
              <w:spacing w:line="315" w:lineRule="atLeast"/>
              <w:jc w:val="center"/>
              <w:rPr>
                <w:rFonts w:hint="default" w:ascii="仿宋" w:hAnsi="仿宋" w:eastAsia="仿宋" w:cs="仿宋"/>
                <w:b w:val="0"/>
                <w:bCs w:val="0"/>
                <w:color w:val="000000"/>
                <w:kern w:val="0"/>
                <w:sz w:val="21"/>
                <w:szCs w:val="21"/>
                <w:u w:val="none"/>
                <w:lang w:val="en-US" w:eastAsia="zh-CN" w:bidi="ar-SA"/>
              </w:rPr>
            </w:pPr>
            <w:r>
              <w:rPr>
                <w:rFonts w:hint="eastAsia" w:ascii="仿宋" w:hAnsi="仿宋" w:eastAsia="仿宋" w:cs="仿宋"/>
                <w:b w:val="0"/>
                <w:bCs w:val="0"/>
                <w:color w:val="000000"/>
                <w:kern w:val="0"/>
                <w:sz w:val="21"/>
                <w:szCs w:val="21"/>
                <w:u w:val="none"/>
                <w:lang w:val="en-US" w:eastAsia="zh-CN" w:bidi="ar-SA"/>
              </w:rPr>
              <w:t>1</w:t>
            </w:r>
          </w:p>
        </w:tc>
        <w:tc>
          <w:tcPr>
            <w:tcW w:w="1662" w:type="dxa"/>
            <w:vMerge w:val="continue"/>
            <w:tcBorders>
              <w:top w:val="nil"/>
              <w:left w:val="single" w:color="000000" w:sz="8" w:space="0"/>
              <w:bottom w:val="single" w:color="000000" w:sz="8" w:space="0"/>
              <w:right w:val="single" w:color="000000" w:sz="8" w:space="0"/>
            </w:tcBorders>
            <w:shd w:val="clear" w:color="auto" w:fill="auto"/>
            <w:vAlign w:val="center"/>
          </w:tcPr>
          <w:p w14:paraId="7E4B6ED4">
            <w:pPr>
              <w:rPr>
                <w:rFonts w:hint="eastAsia" w:ascii="宋体" w:hAnsi="宋体" w:eastAsia="宋体" w:cs="宋体"/>
                <w:b w:val="0"/>
                <w:bCs w:val="0"/>
                <w:sz w:val="18"/>
                <w:szCs w:val="18"/>
                <w:u w:val="none"/>
              </w:rPr>
            </w:pPr>
          </w:p>
        </w:tc>
      </w:tr>
      <w:tr w14:paraId="6B54C2E1">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trPr>
        <w:tc>
          <w:tcPr>
            <w:tcW w:w="1074" w:type="dxa"/>
            <w:vMerge w:val="continue"/>
            <w:tcBorders>
              <w:top w:val="nil"/>
              <w:left w:val="single" w:color="000000" w:sz="8" w:space="0"/>
              <w:bottom w:val="single" w:color="000000" w:sz="8" w:space="0"/>
              <w:right w:val="single" w:color="000000" w:sz="8" w:space="0"/>
            </w:tcBorders>
            <w:shd w:val="clear" w:color="auto" w:fill="auto"/>
            <w:vAlign w:val="center"/>
          </w:tcPr>
          <w:p w14:paraId="4CB601BD">
            <w:pPr>
              <w:rPr>
                <w:rFonts w:hint="eastAsia" w:ascii="宋体" w:hAnsi="宋体" w:eastAsia="宋体" w:cs="宋体"/>
                <w:b w:val="0"/>
                <w:bCs w:val="0"/>
                <w:sz w:val="18"/>
                <w:szCs w:val="18"/>
                <w:u w:val="none"/>
              </w:rPr>
            </w:pPr>
          </w:p>
        </w:tc>
        <w:tc>
          <w:tcPr>
            <w:tcW w:w="1539" w:type="dxa"/>
            <w:tcBorders>
              <w:top w:val="nil"/>
              <w:left w:val="single" w:color="000000" w:sz="8" w:space="0"/>
              <w:bottom w:val="single" w:color="000000" w:sz="8" w:space="0"/>
              <w:right w:val="single" w:color="000000" w:sz="8" w:space="0"/>
            </w:tcBorders>
            <w:shd w:val="clear" w:color="auto" w:fill="auto"/>
            <w:vAlign w:val="center"/>
          </w:tcPr>
          <w:p w14:paraId="47B68177">
            <w:pPr>
              <w:pStyle w:val="2"/>
              <w:keepNext w:val="0"/>
              <w:keepLines w:val="0"/>
              <w:widowControl/>
              <w:suppressLineNumbers w:val="0"/>
              <w:spacing w:line="315" w:lineRule="atLeast"/>
              <w:ind w:left="0" w:leftChars="0" w:right="0" w:rightChars="0"/>
              <w:jc w:val="center"/>
              <w:rPr>
                <w:rFonts w:hint="eastAsia"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eastAsia="zh-CN"/>
              </w:rPr>
              <w:t>财务处</w:t>
            </w:r>
          </w:p>
        </w:tc>
        <w:tc>
          <w:tcPr>
            <w:tcW w:w="672" w:type="dxa"/>
            <w:tcBorders>
              <w:top w:val="nil"/>
              <w:left w:val="single" w:color="000000" w:sz="8" w:space="0"/>
              <w:bottom w:val="single" w:color="000000" w:sz="8" w:space="0"/>
              <w:right w:val="single" w:color="000000" w:sz="8" w:space="0"/>
            </w:tcBorders>
            <w:shd w:val="clear" w:color="auto" w:fill="auto"/>
            <w:vAlign w:val="center"/>
          </w:tcPr>
          <w:p w14:paraId="5C8E3F44">
            <w:pPr>
              <w:pStyle w:val="2"/>
              <w:keepNext w:val="0"/>
              <w:keepLines w:val="0"/>
              <w:widowControl/>
              <w:suppressLineNumbers w:val="0"/>
              <w:spacing w:line="315" w:lineRule="atLeast"/>
              <w:ind w:left="0" w:leftChars="0" w:right="0" w:rightChars="0"/>
              <w:jc w:val="center"/>
              <w:rPr>
                <w:rFonts w:hint="default" w:ascii="仿宋" w:hAnsi="仿宋" w:eastAsia="仿宋" w:cs="仿宋"/>
                <w:b w:val="0"/>
                <w:bCs w:val="0"/>
                <w:color w:val="000000"/>
                <w:kern w:val="0"/>
                <w:sz w:val="21"/>
                <w:szCs w:val="21"/>
                <w:u w:val="none"/>
                <w:lang w:val="en-US" w:eastAsia="zh-CN" w:bidi="ar"/>
              </w:rPr>
            </w:pPr>
            <w:r>
              <w:rPr>
                <w:rFonts w:hint="eastAsia" w:ascii="仿宋" w:hAnsi="仿宋" w:eastAsia="仿宋" w:cs="仿宋"/>
                <w:b w:val="0"/>
                <w:bCs w:val="0"/>
                <w:color w:val="000000"/>
                <w:kern w:val="0"/>
                <w:sz w:val="21"/>
                <w:szCs w:val="21"/>
                <w:u w:val="none"/>
                <w:lang w:val="en-US" w:eastAsia="zh-CN"/>
              </w:rPr>
              <w:t>1</w:t>
            </w:r>
          </w:p>
        </w:tc>
        <w:tc>
          <w:tcPr>
            <w:tcW w:w="1443" w:type="dxa"/>
            <w:vMerge w:val="continue"/>
            <w:tcBorders>
              <w:top w:val="nil"/>
              <w:left w:val="single" w:color="000000" w:sz="8" w:space="0"/>
              <w:bottom w:val="single" w:color="000000" w:sz="8" w:space="0"/>
              <w:right w:val="single" w:color="000000" w:sz="8" w:space="0"/>
            </w:tcBorders>
            <w:shd w:val="clear" w:color="auto" w:fill="auto"/>
            <w:vAlign w:val="center"/>
          </w:tcPr>
          <w:p w14:paraId="566B9826">
            <w:pPr>
              <w:rPr>
                <w:rFonts w:hint="eastAsia" w:ascii="宋体" w:hAnsi="宋体" w:eastAsia="宋体" w:cs="宋体"/>
                <w:b w:val="0"/>
                <w:bCs w:val="0"/>
                <w:sz w:val="18"/>
                <w:szCs w:val="18"/>
                <w:u w:val="none"/>
              </w:rPr>
            </w:pPr>
          </w:p>
        </w:tc>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48DE809F">
            <w:pPr>
              <w:rPr>
                <w:rFonts w:hint="eastAsia" w:ascii="宋体" w:hAnsi="宋体" w:eastAsia="宋体" w:cs="宋体"/>
                <w:b w:val="0"/>
                <w:bCs w:val="0"/>
                <w:sz w:val="18"/>
                <w:szCs w:val="18"/>
                <w:u w:val="none"/>
              </w:rPr>
            </w:pP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23484C1">
            <w:pPr>
              <w:pStyle w:val="2"/>
              <w:keepNext w:val="0"/>
              <w:keepLines w:val="0"/>
              <w:widowControl/>
              <w:suppressLineNumbers w:val="0"/>
              <w:spacing w:line="315" w:lineRule="atLeast"/>
              <w:jc w:val="center"/>
              <w:rPr>
                <w:rFonts w:hint="eastAsia" w:ascii="仿宋" w:hAnsi="仿宋" w:eastAsia="仿宋" w:cs="仿宋"/>
                <w:b w:val="0"/>
                <w:bCs w:val="0"/>
                <w:color w:val="000000"/>
                <w:kern w:val="0"/>
                <w:sz w:val="21"/>
                <w:szCs w:val="21"/>
                <w:u w:val="none"/>
                <w:lang w:eastAsia="zh-CN"/>
              </w:rPr>
            </w:pPr>
            <w:r>
              <w:rPr>
                <w:rFonts w:hint="eastAsia" w:ascii="仿宋" w:hAnsi="仿宋" w:eastAsia="仿宋" w:cs="仿宋"/>
                <w:b w:val="0"/>
                <w:bCs w:val="0"/>
                <w:color w:val="000000"/>
                <w:kern w:val="0"/>
                <w:sz w:val="21"/>
                <w:szCs w:val="21"/>
                <w:u w:val="none"/>
                <w:lang w:eastAsia="zh-CN"/>
              </w:rPr>
              <w:t>继续教育学院</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7547AD05">
            <w:pPr>
              <w:pStyle w:val="2"/>
              <w:keepNext w:val="0"/>
              <w:keepLines w:val="0"/>
              <w:widowControl/>
              <w:suppressLineNumbers w:val="0"/>
              <w:spacing w:line="315" w:lineRule="atLeast"/>
              <w:jc w:val="center"/>
              <w:rPr>
                <w:rFonts w:hint="default" w:ascii="仿宋" w:hAnsi="仿宋" w:eastAsia="仿宋" w:cs="仿宋"/>
                <w:b w:val="0"/>
                <w:bCs w:val="0"/>
                <w:color w:val="000000"/>
                <w:kern w:val="0"/>
                <w:sz w:val="21"/>
                <w:szCs w:val="21"/>
                <w:u w:val="none"/>
                <w:lang w:val="en-US" w:eastAsia="zh-CN"/>
              </w:rPr>
            </w:pPr>
            <w:r>
              <w:rPr>
                <w:rFonts w:hint="eastAsia" w:ascii="仿宋" w:hAnsi="仿宋" w:eastAsia="仿宋" w:cs="仿宋"/>
                <w:b w:val="0"/>
                <w:bCs w:val="0"/>
                <w:color w:val="000000"/>
                <w:kern w:val="0"/>
                <w:sz w:val="21"/>
                <w:szCs w:val="21"/>
                <w:u w:val="none"/>
                <w:lang w:val="en-US" w:eastAsia="zh-CN"/>
              </w:rPr>
              <w:t>1</w:t>
            </w:r>
          </w:p>
        </w:tc>
        <w:tc>
          <w:tcPr>
            <w:tcW w:w="1662" w:type="dxa"/>
            <w:vMerge w:val="continue"/>
            <w:tcBorders>
              <w:top w:val="nil"/>
              <w:left w:val="single" w:color="000000" w:sz="8" w:space="0"/>
              <w:bottom w:val="single" w:color="000000" w:sz="8" w:space="0"/>
              <w:right w:val="single" w:color="000000" w:sz="8" w:space="0"/>
            </w:tcBorders>
            <w:shd w:val="clear" w:color="auto" w:fill="auto"/>
            <w:vAlign w:val="center"/>
          </w:tcPr>
          <w:p w14:paraId="6EA72C4D">
            <w:pPr>
              <w:rPr>
                <w:rFonts w:hint="eastAsia" w:ascii="宋体" w:hAnsi="宋体" w:eastAsia="宋体" w:cs="宋体"/>
                <w:b w:val="0"/>
                <w:bCs w:val="0"/>
                <w:sz w:val="18"/>
                <w:szCs w:val="18"/>
                <w:u w:val="none"/>
              </w:rPr>
            </w:pPr>
          </w:p>
        </w:tc>
      </w:tr>
    </w:tbl>
    <w:p w14:paraId="17CC9855"/>
    <w:p w14:paraId="7CFEF7A9">
      <w:pPr>
        <w:keepNext w:val="0"/>
        <w:keepLines w:val="0"/>
        <w:pageBreakBefore w:val="0"/>
        <w:widowControl w:val="0"/>
        <w:kinsoku/>
        <w:wordWrap/>
        <w:overflowPunct/>
        <w:topLinePunct w:val="0"/>
        <w:autoSpaceDE/>
        <w:autoSpaceDN/>
        <w:bidi w:val="0"/>
        <w:adjustRightInd/>
        <w:snapToGrid/>
        <w:spacing w:line="560" w:lineRule="exact"/>
        <w:ind w:left="0" w:right="0"/>
        <w:jc w:val="left"/>
        <w:textAlignment w:val="auto"/>
        <w:rPr>
          <w:rFonts w:hint="default" w:ascii="黑体" w:hAnsi="黑体" w:eastAsia="黑体" w:cs="黑体"/>
          <w:b w:val="0"/>
          <w:bCs w:val="0"/>
          <w:color w:val="auto"/>
          <w:spacing w:val="0"/>
          <w:sz w:val="32"/>
          <w:szCs w:val="32"/>
          <w:lang w:val="en-US" w:eastAsia="zh-CN"/>
        </w:rPr>
      </w:pPr>
    </w:p>
    <w:p w14:paraId="3AA89248">
      <w:pPr>
        <w:spacing w:line="560" w:lineRule="exact"/>
        <w:rPr>
          <w:rFonts w:hint="default" w:ascii="仿宋_GB2312" w:hAnsi="仿宋_GB2312" w:eastAsia="仿宋_GB2312" w:cs="仿宋_GB2312"/>
          <w:sz w:val="32"/>
          <w:szCs w:val="32"/>
          <w:lang w:val="en-US" w:eastAsia="zh-CN"/>
        </w:rPr>
      </w:pPr>
    </w:p>
    <w:p w14:paraId="47E526EE">
      <w:pPr>
        <w:spacing w:line="560" w:lineRule="exact"/>
        <w:rPr>
          <w:rFonts w:hint="default" w:ascii="仿宋_GB2312" w:hAnsi="仿宋_GB2312" w:eastAsia="仿宋_GB2312" w:cs="仿宋_GB2312"/>
          <w:sz w:val="32"/>
          <w:szCs w:val="32"/>
          <w:lang w:val="en-US" w:eastAsia="zh-CN"/>
        </w:rPr>
      </w:pPr>
    </w:p>
    <w:p w14:paraId="21EEAA2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F3642"/>
    <w:rsid w:val="09EF3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kern w:val="0"/>
      <w:sz w:val="24"/>
    </w:rPr>
  </w:style>
  <w:style w:type="character" w:styleId="5">
    <w:name w:val="Strong"/>
    <w:basedOn w:val="4"/>
    <w:qFormat/>
    <w:uiPriority w:val="0"/>
    <w:rPr>
      <w:b/>
    </w:rPr>
  </w:style>
  <w:style w:type="paragraph" w:customStyle="1" w:styleId="6">
    <w:name w:val="列出段落1"/>
    <w:basedOn w:val="1"/>
    <w:qFormat/>
    <w:uiPriority w:val="0"/>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2025-11-03T02:04:00Z</dcterms:created>
  <dc:creator>叫嚣的知更鸟.</dc:creator>
  <cp:lastModifiedBy>叫嚣的知更鸟.</cp:lastModifiedBy>
  <dcterms:modified xsi:type="dcterms:W3CDTF">2025-11-03T02:05:57Z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0C547BDEAE764C7DBDDE2FB72AEB78E5_11</vt:lpwstr>
  </property>
  <property fmtid="{D5CDD505-2E9C-101B-9397-08002B2CF9AE}" pid="4" name="KSOTemplateDocerSaveRecord">
    <vt:lpwstr>eyJoZGlkIjoiYjE0OTkwZDYyZjJhYTY3ODA3ODJjYWRjNjFhOWZiZWEiLCJ1c2VySWQiOiI1MjIwNzg0MjgifQ==</vt:lpwstr>
  </property>
</Properties>
</file>