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4</w:t>
      </w:r>
    </w:p>
    <w:p>
      <w:pPr>
        <w:rPr>
          <w:rFonts w:ascii="黑体" w:eastAsia="黑体" w:hAnsi="黑体" w:cs="仿宋_GB2312" w:hint="eastAsia"/>
        </w:rPr>
      </w:pPr>
    </w:p>
    <w:p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河南省文明社团申报表</w:t>
      </w:r>
    </w:p>
    <w:p>
      <w:pPr>
        <w:widowControl/>
        <w:spacing w:line="360" w:lineRule="atLeast"/>
        <w:jc w:val="center"/>
        <w:rPr>
          <w:rFonts w:ascii="楷体_GB2312" w:eastAsia="楷体_GB2312" w:hAnsi="宋体" w:hint="eastAsia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  <w:noWrap w:val="0"/>
            <w:vAlign w:val="top"/>
          </w:tcPr>
          <w:p>
            <w:pPr>
              <w:widowControl/>
              <w:snapToGrid w:val="0"/>
              <w:contextualSpacing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6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noWrap w:val="0"/>
            <w:vAlign w:val="top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学校学工部门</w:t>
            </w:r>
          </w:p>
          <w:p>
            <w:pPr>
              <w:snapToGrid w:val="0"/>
              <w:ind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 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中等职业学校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此表由</w:t>
            </w:r>
            <w:r>
              <w:rPr>
                <w:rFonts w:ascii="仿宋_GB2312" w:hint="eastAsia"/>
                <w:sz w:val="24"/>
              </w:rPr>
              <w:t>高等学校、省属中等职业学校和厅直属中小学校</w:t>
            </w:r>
            <w:r>
              <w:rPr>
                <w:rFonts w:ascii="宋体" w:hAnsi="宋体" w:hint="eastAsia"/>
                <w:sz w:val="24"/>
                <w:szCs w:val="24"/>
              </w:rPr>
              <w:t>填写</w:t>
            </w:r>
          </w:p>
        </w:tc>
      </w:tr>
    </w:tbl>
    <w:p>
      <w:pPr>
        <w:spacing w:after="0"/>
        <w:rPr>
          <w:rFonts w:ascii="黑体" w:eastAsia="黑体" w:hAnsi="黑体" w:cs="仿宋_GB2312" w:hint="eastAsia"/>
          <w:sz w:val="32"/>
          <w:szCs w:val="32"/>
          <w:lang w:eastAsia="zh-CN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1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