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25" w:leftChars="250" w:firstLine="361" w:firstLineChars="1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2021</w:t>
      </w:r>
      <w:r>
        <w:rPr>
          <w:rFonts w:hint="eastAsia" w:ascii="宋体" w:hAnsi="宋体"/>
          <w:b/>
          <w:sz w:val="36"/>
          <w:szCs w:val="36"/>
        </w:rPr>
        <w:t xml:space="preserve">届毕业生规模、结构及就业率、就业流向          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一、毕业生总体规模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许昌陶瓷职业学院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2021届毕业生共有999人，分布7个系部19各专业，分别是陶瓷工程系、经济贸易系、工商管理系、信息工程系、交通运输系、机电工程系和建筑工程系。人数占比分别为28.62%、24.42%、5.3%、17.61%、4.5%、9.4%、10.11%。</w:t>
      </w:r>
    </w:p>
    <w:p>
      <w:pPr>
        <w:widowControl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表1  2021届毕业生系别及专业分布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B2A1C7" w:themeFill="accent4" w:themeFillTint="9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系别</w:t>
            </w:r>
          </w:p>
        </w:tc>
        <w:tc>
          <w:tcPr>
            <w:tcW w:w="2130" w:type="dxa"/>
            <w:shd w:val="clear" w:color="auto" w:fill="B2A1C7" w:themeFill="accent4" w:themeFillTint="9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2131" w:type="dxa"/>
            <w:shd w:val="clear" w:color="auto" w:fill="B2A1C7" w:themeFill="accent4" w:themeFillTint="9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2131" w:type="dxa"/>
            <w:shd w:val="clear" w:color="auto" w:fill="B2A1C7" w:themeFill="accent4" w:themeFillTint="9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陶瓷工程系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艺术设计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73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环境艺术设计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音乐表演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156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286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28.63%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经济贸易系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财务管理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会计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87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市场营销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电子商务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244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24.42%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工商管理系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房地产经营与管理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旅游管理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酒店管理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5.3%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信息工程系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移动互联应用技术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计算机应用技术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144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176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17.62%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交通运输系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汽车检测与维修技术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汽车电子技术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机电工程系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机械设计与制造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机电一体化技术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9.4%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建筑工程系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园林技术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建筑工程技术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工程造价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小计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10.11%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79" w:leftChars="0" w:firstLine="879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毕业生性别结构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我院2021届毕业生中男生483人，占总人数的48.35%；女生516人，占总人数的51.65%。男女生情况如下图所示。</w:t>
      </w:r>
    </w:p>
    <w:p>
      <w:pPr>
        <w:ind w:firstLine="880"/>
        <w:rPr>
          <w:rFonts w:hint="eastAsia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pict>
          <v:shape id="_x0000_s1027" o:spid="_x0000_s1027" o:spt="75" type="#_x0000_t75" style="position:absolute;left:0pt;margin-left:28.35pt;margin-top:2.9pt;height:222.75pt;width:366.7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topAndBottom"/>
          </v:shape>
          <o:OLEObject Type="Embed" ProgID="Excel.Chart.8" ShapeID="_x0000_s1027" DrawAspect="Content" ObjectID="_1468075725" r:id="rId4">
            <o:LockedField>false</o:LockedField>
          </o:OLEObject>
        </w:pic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第二篇：</w:t>
      </w:r>
      <w:r>
        <w:rPr>
          <w:rFonts w:hint="eastAsia"/>
        </w:rPr>
        <w:t>毕业生</w:t>
      </w:r>
      <w:r>
        <w:rPr>
          <w:rFonts w:hint="eastAsia"/>
          <w:lang w:eastAsia="zh-CN"/>
        </w:rPr>
        <w:t>就业情况与相关分析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一、总体就业率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9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毕业生就业率，是指继续深造和就业毕业生数量占毕业生总数的比例。其中，继续深造是指专升本的学生，就业包括签三方协议就业和灵活就业两种形式。灵活就业包括不签署三方协议而直接与用人单位签署劳动合同就业、持有用人单位证明、自主创业和自由职业四种类型。截止到2021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日，我校2021届毕业生就业率</w:t>
      </w:r>
      <w:r>
        <w:rPr>
          <w:rFonts w:hint="eastAsia" w:ascii="仿宋" w:hAnsi="仿宋" w:eastAsia="仿宋"/>
          <w:sz w:val="32"/>
          <w:szCs w:val="32"/>
          <w:lang w:eastAsia="zh-CN"/>
        </w:rPr>
        <w:t>如表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1所示</w:t>
      </w:r>
    </w:p>
    <w:tbl>
      <w:tblPr>
        <w:tblStyle w:val="8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tblCellSpacing w:w="0" w:type="dxa"/>
        </w:trPr>
        <w:tc>
          <w:tcPr>
            <w:tcW w:w="8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 w:bidi="ar"/>
              </w:rPr>
              <w:t>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2 2021届毕业生总体就业率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  <w:tblCellSpacing w:w="0" w:type="dxa"/>
        </w:trPr>
        <w:tc>
          <w:tcPr>
            <w:tcW w:w="8740" w:type="dxa"/>
            <w:noWrap w:val="0"/>
            <w:vAlign w:val="top"/>
          </w:tcPr>
          <w:tbl>
            <w:tblPr>
              <w:tblStyle w:val="8"/>
              <w:tblW w:w="0" w:type="auto"/>
              <w:jc w:val="center"/>
              <w:tblBorders>
                <w:top w:val="single" w:color="111111" w:sz="6" w:space="0"/>
                <w:left w:val="single" w:color="111111" w:sz="6" w:space="0"/>
                <w:bottom w:val="single" w:color="111111" w:sz="6" w:space="0"/>
                <w:right w:val="single" w:color="111111" w:sz="6" w:space="0"/>
                <w:insideH w:val="outset" w:color="111111" w:sz="6" w:space="0"/>
                <w:insideV w:val="outset" w:color="111111" w:sz="6" w:space="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992"/>
              <w:gridCol w:w="2190"/>
              <w:gridCol w:w="2940"/>
            </w:tblGrid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1992" w:type="dxa"/>
                  <w:vMerge w:val="restart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shd w:val="clear" w:color="auto" w:fill="AAAADD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院系</w:t>
                  </w:r>
                  <w:r>
                    <w:rPr>
                      <w:rFonts w:ascii="宋体" w:hAnsi="宋体" w:cs="宋体"/>
                      <w:color w:val="FFFF00"/>
                      <w:kern w:val="0"/>
                      <w:sz w:val="18"/>
                      <w:szCs w:val="18"/>
                      <w:lang w:bidi="ar"/>
                    </w:rPr>
                    <w:t>▲</w:t>
                  </w:r>
                </w:p>
              </w:tc>
              <w:tc>
                <w:tcPr>
                  <w:tcW w:w="2190" w:type="dxa"/>
                  <w:vMerge w:val="restart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shd w:val="clear" w:color="auto" w:fill="AAAADD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专业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shd w:val="clear" w:color="auto" w:fill="AAAADD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总就业率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1992" w:type="dxa"/>
                  <w:vMerge w:val="continue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shd w:val="clear" w:color="auto" w:fill="AAAADD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vMerge w:val="continue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shd w:val="clear" w:color="auto" w:fill="AAAADD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940" w:type="dxa"/>
                  <w:vMerge w:val="continue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shd w:val="clear" w:color="auto" w:fill="AAAADD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合计</w:t>
                  </w: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82.08% (820/999)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陶瓷工程系</w:t>
                  </w: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84.97% (243/286)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艺术设计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80.82% (59/73)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环境艺术设计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66.67% (38/57)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音乐表演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93.59% (146/156)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经济贸易系</w:t>
                  </w: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86.48% (211/244)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财务管理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91.23% (52/57)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会计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90.80% (79/87)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市场营销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75.86% (22/29)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电子商务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81.69% (58/71)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工商管理系</w:t>
                  </w: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92.45% (49/53)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房地产经营与管理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66.67% (2/3)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旅游管理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96.30% (26/27)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酒店管理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91.30% (21/23)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信息工程系</w:t>
                  </w: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77.27% (136/176)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移动互联应用技术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84.38% (27/32)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计算机应用技术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75.69% (109/144)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交通运输系</w:t>
                  </w: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86.67% (39/45)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汽车检测与维修技术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87.10% (27/31)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汽车电子技术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85.71% (12/14)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机电工程系</w:t>
                  </w: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68.09% (64/94)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机械设计与制造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62.22% (28/45)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机电一体化技术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73.47% (36/49)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建筑工程系</w:t>
                  </w: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77.23% (78/101)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园林技术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58.14% (25/43)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建筑工程技术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100.00% (34/34)</w:t>
                  </w:r>
                </w:p>
              </w:tc>
            </w:tr>
            <w:tr>
              <w:tblPrEx>
                <w:tblBorders>
                  <w:top w:val="single" w:color="111111" w:sz="6" w:space="0"/>
                  <w:left w:val="single" w:color="111111" w:sz="6" w:space="0"/>
                  <w:bottom w:val="single" w:color="111111" w:sz="6" w:space="0"/>
                  <w:right w:val="single" w:color="111111" w:sz="6" w:space="0"/>
                  <w:insideH w:val="outset" w:color="111111" w:sz="6" w:space="0"/>
                  <w:insideV w:val="outset" w:color="111111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1992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219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工程造价</w:t>
                  </w:r>
                </w:p>
              </w:tc>
              <w:tc>
                <w:tcPr>
                  <w:tcW w:w="2940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  <w:lang w:bidi="ar"/>
                    </w:rPr>
                    <w:t>79.17% (19/24)</w:t>
                  </w:r>
                </w:p>
              </w:tc>
            </w:tr>
          </w:tbl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毕业生流向分布情况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（一）毕业生总体毕业去向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截止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2021年11月1日，许昌陶瓷职业学院2021届毕业生总体毕业去向如表2所示。</w:t>
      </w:r>
    </w:p>
    <w:p>
      <w:pPr>
        <w:widowControl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</w:pPr>
      <w:bookmarkStart w:id="0" w:name="_Toc31621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表3 2019届毕业生总体毕业去向</w:t>
      </w:r>
      <w:bookmarkEnd w:id="0"/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8"/>
        <w:gridCol w:w="1911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就业类别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签就业协议形式就业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666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签劳动合同形式就业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灵活就业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应征义务兵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1.2%%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待就业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179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自主创业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升学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10.71%</w:t>
            </w:r>
          </w:p>
        </w:tc>
      </w:tr>
    </w:tbl>
    <w:p>
      <w:pPr>
        <w:pStyle w:val="4"/>
        <w:numPr>
          <w:ilvl w:val="0"/>
          <w:numId w:val="3"/>
        </w:numPr>
        <w:bidi w:val="0"/>
        <w:ind w:left="0" w:leftChars="0" w:firstLine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未就业情况分析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调查结果显示，未就业的</w:t>
      </w:r>
      <w:r>
        <w:rPr>
          <w:rFonts w:hint="eastAsia"/>
          <w:sz w:val="32"/>
          <w:szCs w:val="32"/>
          <w:lang w:val="en-US" w:eastAsia="zh-CN"/>
        </w:rPr>
        <w:t>179人中，求职中的为99人，签约中的为50人，暂不就业的人数为25人，拟创业的分别为5人。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pict>
          <v:shape id="_x0000_s1028" o:spid="_x0000_s1028" o:spt="75" type="#_x0000_t75" style="position:absolute;left:0pt;margin-left:45.75pt;margin-top:6pt;height:219.45pt;width:361.15pt;mso-wrap-distance-bottom:0pt;mso-wrap-distance-left:9pt;mso-wrap-distance-right:9pt;mso-wrap-distance-top:0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square"/>
          </v:shape>
          <o:OLEObject Type="Embed" ProgID="Excel.Chart.8" ShapeID="_x0000_s1028" DrawAspect="Content" ObjectID="_1468075726" r:id="rId6">
            <o:LockedField>false</o:LockedField>
          </o:OLEObject>
        </w:pic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pStyle w:val="3"/>
        <w:numPr>
          <w:ilvl w:val="0"/>
          <w:numId w:val="2"/>
        </w:numPr>
        <w:bidi w:val="0"/>
        <w:ind w:left="210" w:leftChars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就业流向分布情况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（一）就业地区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2021届毕业生就业地区中，</w:t>
      </w:r>
      <w:r>
        <w:rPr>
          <w:rFonts w:hint="eastAsia" w:ascii="仿宋" w:hAnsi="仿宋" w:eastAsia="仿宋"/>
          <w:sz w:val="32"/>
          <w:szCs w:val="32"/>
        </w:rPr>
        <w:t>大多数学生</w:t>
      </w:r>
      <w:r>
        <w:rPr>
          <w:rFonts w:hint="eastAsia" w:ascii="仿宋" w:hAnsi="仿宋" w:eastAsia="仿宋"/>
          <w:sz w:val="32"/>
          <w:szCs w:val="32"/>
          <w:lang w:eastAsia="zh-CN"/>
        </w:rPr>
        <w:t>主要集中</w:t>
      </w:r>
      <w:r>
        <w:rPr>
          <w:rFonts w:hint="eastAsia" w:ascii="仿宋" w:hAnsi="仿宋" w:eastAsia="仿宋"/>
          <w:sz w:val="32"/>
          <w:szCs w:val="32"/>
        </w:rPr>
        <w:t>在河南省</w:t>
      </w:r>
      <w:r>
        <w:rPr>
          <w:rFonts w:hint="eastAsia" w:ascii="仿宋" w:hAnsi="仿宋" w:eastAsia="仿宋"/>
          <w:sz w:val="32"/>
          <w:szCs w:val="32"/>
          <w:lang w:eastAsia="zh-CN"/>
        </w:rPr>
        <w:t>、陕西省和山西省，在河南省内就业居多的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如表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3所示</w:t>
      </w:r>
    </w:p>
    <w:tbl>
      <w:tblPr>
        <w:tblStyle w:val="8"/>
        <w:tblW w:w="5794" w:type="pct"/>
        <w:tblCellSpacing w:w="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2" w:hRule="atLeast"/>
          <w:tblCellSpacing w:w="0" w:type="dxa"/>
        </w:trPr>
        <w:tc>
          <w:tcPr>
            <w:tcW w:w="5000" w:type="pct"/>
            <w:noWrap w:val="0"/>
            <w:vAlign w:val="top"/>
          </w:tcPr>
          <w:tbl>
            <w:tblPr>
              <w:tblStyle w:val="8"/>
              <w:tblW w:w="4550" w:type="pct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75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083" w:hRule="atLeast"/>
                <w:jc w:val="center"/>
              </w:trPr>
              <w:tc>
                <w:tcPr>
                  <w:tcW w:w="500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宋体" w:hAnsi="宋体" w:eastAsia="宋体" w:cs="宋体"/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表4：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就业流向统计表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882" w:hRule="atLeast"/>
                <w:jc w:val="center"/>
              </w:trPr>
              <w:tc>
                <w:tcPr>
                  <w:tcW w:w="5000" w:type="pct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tbl>
                  <w:tblPr>
                    <w:tblStyle w:val="8"/>
                    <w:tblW w:w="0" w:type="auto"/>
                    <w:jc w:val="center"/>
                    <w:tblBorders>
                      <w:top w:val="single" w:color="111111" w:sz="6" w:space="0"/>
                      <w:left w:val="single" w:color="111111" w:sz="6" w:space="0"/>
                      <w:bottom w:val="single" w:color="111111" w:sz="6" w:space="0"/>
                      <w:right w:val="single" w:color="111111" w:sz="6" w:space="0"/>
                      <w:insideH w:val="outset" w:color="111111" w:sz="6" w:space="0"/>
                      <w:insideV w:val="outset" w:color="111111" w:sz="6" w:space="0"/>
                    </w:tblBorders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</w:tblPr>
                  <w:tblGrid>
                    <w:gridCol w:w="1015"/>
                    <w:gridCol w:w="780"/>
                    <w:gridCol w:w="1036"/>
                    <w:gridCol w:w="1135"/>
                  </w:tblGrid>
                  <w:tr>
                    <w:tblPrEx>
                      <w:tblBorders>
                        <w:top w:val="single" w:color="111111" w:sz="6" w:space="0"/>
                        <w:left w:val="single" w:color="111111" w:sz="6" w:space="0"/>
                        <w:bottom w:val="single" w:color="111111" w:sz="6" w:space="0"/>
                        <w:right w:val="single" w:color="111111" w:sz="6" w:space="0"/>
                        <w:insideH w:val="outset" w:color="111111" w:sz="6" w:space="0"/>
                        <w:insideV w:val="outset" w:color="111111" w:sz="6" w:space="0"/>
                      </w:tblBorders>
                      <w:tblCellMar>
                        <w:top w:w="30" w:type="dxa"/>
                        <w:left w:w="30" w:type="dxa"/>
                        <w:bottom w:w="30" w:type="dxa"/>
                        <w:right w:w="3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015" w:type="dxa"/>
                        <w:vMerge w:val="restart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shd w:val="clear" w:color="auto" w:fill="AAAADD"/>
                        <w:noWrap w:val="0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院系</w:t>
                        </w:r>
                        <w:r>
                          <w:rPr>
                            <w:rFonts w:ascii="宋体" w:hAnsi="宋体" w:eastAsia="宋体" w:cs="宋体"/>
                            <w:color w:val="FFFF00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▲</w:t>
                        </w:r>
                      </w:p>
                    </w:tc>
                    <w:tc>
                      <w:tcPr>
                        <w:tcW w:w="780" w:type="dxa"/>
                        <w:vMerge w:val="restart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shd w:val="clear" w:color="auto" w:fill="AAAADD"/>
                        <w:noWrap w:val="0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所在地区</w:t>
                        </w:r>
                      </w:p>
                    </w:tc>
                    <w:tc>
                      <w:tcPr>
                        <w:tcW w:w="2171" w:type="dxa"/>
                        <w:gridSpan w:val="2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shd w:val="clear" w:color="auto" w:fill="AAAADD"/>
                        <w:noWrap w:val="0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学历</w:t>
                        </w:r>
                      </w:p>
                    </w:tc>
                  </w:tr>
                  <w:tr>
                    <w:tblPrEx>
                      <w:tblBorders>
                        <w:top w:val="single" w:color="111111" w:sz="6" w:space="0"/>
                        <w:left w:val="single" w:color="111111" w:sz="6" w:space="0"/>
                        <w:bottom w:val="single" w:color="111111" w:sz="6" w:space="0"/>
                        <w:right w:val="single" w:color="111111" w:sz="6" w:space="0"/>
                        <w:insideH w:val="outset" w:color="111111" w:sz="6" w:space="0"/>
                        <w:insideV w:val="outset" w:color="111111" w:sz="6" w:space="0"/>
                      </w:tblBorders>
                      <w:tblCellMar>
                        <w:top w:w="30" w:type="dxa"/>
                        <w:left w:w="30" w:type="dxa"/>
                        <w:bottom w:w="30" w:type="dxa"/>
                        <w:right w:w="3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015" w:type="dxa"/>
                        <w:vMerge w:val="continue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shd w:val="clear" w:color="auto" w:fill="AAAADD"/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vMerge w:val="continue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shd w:val="clear" w:color="auto" w:fill="AAAADD"/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shd w:val="clear" w:color="auto" w:fill="AAAADD"/>
                        <w:noWrap w:val="0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专科生毕业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shd w:val="clear" w:color="auto" w:fill="AAAADD"/>
                        <w:noWrap w:val="0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  <w:u w:val="none"/>
                            <w:lang w:val="en-US" w:eastAsia="zh-CN" w:bidi="ar"/>
                          </w:rPr>
                          <w:t>专科生结业</w:t>
                        </w:r>
                      </w:p>
                    </w:tc>
                  </w:tr>
                  <w:tr>
                    <w:tblPrEx>
                      <w:tblBorders>
                        <w:top w:val="single" w:color="111111" w:sz="6" w:space="0"/>
                        <w:left w:val="single" w:color="111111" w:sz="6" w:space="0"/>
                        <w:bottom w:val="single" w:color="111111" w:sz="6" w:space="0"/>
                        <w:right w:val="single" w:color="111111" w:sz="6" w:space="0"/>
                        <w:insideH w:val="outset" w:color="111111" w:sz="6" w:space="0"/>
                        <w:insideV w:val="outset" w:color="111111" w:sz="6" w:space="0"/>
                      </w:tblBorders>
                      <w:tblCellMar>
                        <w:top w:w="30" w:type="dxa"/>
                        <w:left w:w="30" w:type="dxa"/>
                        <w:bottom w:w="30" w:type="dxa"/>
                        <w:right w:w="3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015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合计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right"/>
                          <w:rPr>
                            <w:rFonts w:hint="default" w:ascii="宋体" w:hAnsi="宋体" w:eastAsia="宋体" w:cs="宋体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704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righ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9</w:t>
                        </w:r>
                      </w:p>
                    </w:tc>
                  </w:tr>
                  <w:tr>
                    <w:tblPrEx>
                      <w:tblBorders>
                        <w:top w:val="single" w:color="111111" w:sz="6" w:space="0"/>
                        <w:left w:val="single" w:color="111111" w:sz="6" w:space="0"/>
                        <w:bottom w:val="single" w:color="111111" w:sz="6" w:space="0"/>
                        <w:right w:val="single" w:color="111111" w:sz="6" w:space="0"/>
                        <w:insideH w:val="outset" w:color="111111" w:sz="6" w:space="0"/>
                        <w:insideV w:val="outset" w:color="111111" w:sz="6" w:space="0"/>
                      </w:tblBorders>
                      <w:tblCellMar>
                        <w:top w:w="30" w:type="dxa"/>
                        <w:left w:w="30" w:type="dxa"/>
                        <w:bottom w:w="30" w:type="dxa"/>
                        <w:right w:w="3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015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河南省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right"/>
                          <w:rPr>
                            <w:rFonts w:hint="default" w:ascii="宋体" w:hAnsi="宋体" w:eastAsia="宋体" w:cs="宋体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702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right"/>
                          <w:rPr>
                            <w:rFonts w:hint="default" w:ascii="宋体" w:hAnsi="宋体" w:eastAsia="宋体" w:cs="宋体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9</w:t>
                        </w:r>
                      </w:p>
                    </w:tc>
                  </w:tr>
                  <w:tr>
                    <w:tblPrEx>
                      <w:tblBorders>
                        <w:top w:val="single" w:color="111111" w:sz="6" w:space="0"/>
                        <w:left w:val="single" w:color="111111" w:sz="6" w:space="0"/>
                        <w:bottom w:val="single" w:color="111111" w:sz="6" w:space="0"/>
                        <w:right w:val="single" w:color="111111" w:sz="6" w:space="0"/>
                        <w:insideH w:val="outset" w:color="111111" w:sz="6" w:space="0"/>
                        <w:insideV w:val="outset" w:color="111111" w:sz="6" w:space="0"/>
                      </w:tblBorders>
                      <w:tblCellMar>
                        <w:top w:w="30" w:type="dxa"/>
                        <w:left w:w="30" w:type="dxa"/>
                        <w:bottom w:w="30" w:type="dxa"/>
                        <w:right w:w="3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015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山西省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righ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righ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111111" w:sz="6" w:space="0"/>
                        <w:left w:val="single" w:color="111111" w:sz="6" w:space="0"/>
                        <w:bottom w:val="single" w:color="111111" w:sz="6" w:space="0"/>
                        <w:right w:val="single" w:color="111111" w:sz="6" w:space="0"/>
                        <w:insideH w:val="outset" w:color="111111" w:sz="6" w:space="0"/>
                        <w:insideV w:val="outset" w:color="111111" w:sz="6" w:space="0"/>
                      </w:tblBorders>
                      <w:tblCellMar>
                        <w:top w:w="30" w:type="dxa"/>
                        <w:left w:w="30" w:type="dxa"/>
                        <w:bottom w:w="30" w:type="dxa"/>
                        <w:right w:w="3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015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陕西省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righ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color="111111" w:sz="6" w:space="0"/>
                          <w:left w:val="outset" w:color="111111" w:sz="6" w:space="0"/>
                          <w:bottom w:val="outset" w:color="111111" w:sz="6" w:space="0"/>
                          <w:right w:val="outset" w:color="111111" w:sz="6" w:space="0"/>
                        </w:tcBorders>
                        <w:noWrap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right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>
                  <w:pPr>
                    <w:jc w:val="center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（二）行业流向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调查结果显示，2019届毕业生就业行业流向排名前三位的为“租赁和商业服务业”135人，占比18.96%；“教育”110人，占比15.43%；“批发和零售业”109人，占比15.29%。具体如表4所示。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14"/>
        <w:bidi w:val="0"/>
        <w:rPr>
          <w:rFonts w:hint="default"/>
          <w:lang w:val="en-US" w:eastAsia="zh-CN"/>
        </w:rPr>
      </w:pPr>
      <w:bookmarkStart w:id="1" w:name="_Toc2758"/>
      <w:r>
        <w:rPr>
          <w:rFonts w:hint="eastAsia"/>
          <w:lang w:val="en-US" w:eastAsia="zh-CN"/>
        </w:rPr>
        <w:t>表5  2021届毕业生就业行业分布</w:t>
      </w:r>
      <w:bookmarkEnd w:id="1"/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2"/>
        <w:gridCol w:w="1372"/>
        <w:gridCol w:w="17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选项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样本数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占比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教育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15.43%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制造业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9.96%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信息传输、软件和信息技术服务业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9.4%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6.17%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卫生和社会工作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金融业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批发和零售业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15.29%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交通运输、仓储和邮政业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2.52%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住宿和餐饮业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居民服务、修理和其他服务业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2.24%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文化、体育和娱乐业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3.09%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租赁和商业服务业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18.93%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房地产业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电力、热力、燃气及水生产和供应业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0.14%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公共管理、社会保障和社会组织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0.84%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农、林、牧、渔业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0.42%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采矿业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科学研究和技术服务业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1.82%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军队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1.68%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水利、环境和公共设施管理业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0.28%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合计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713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100.00%</w:t>
            </w:r>
          </w:p>
        </w:tc>
      </w:tr>
    </w:tbl>
    <w:p>
      <w:pPr>
        <w:rPr>
          <w:rFonts w:hint="eastAsia" w:ascii="Calibri" w:hAnsi="Calibri" w:eastAsia="宋体" w:cs="Times New Roman"/>
          <w:sz w:val="32"/>
          <w:szCs w:val="32"/>
        </w:rPr>
      </w:pPr>
    </w:p>
    <w:p>
      <w:pPr>
        <w:spacing w:line="560" w:lineRule="exact"/>
        <w:ind w:firstLine="72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2021届毕业生转正后的月均收入为3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/>
          <w:sz w:val="32"/>
          <w:szCs w:val="32"/>
        </w:rPr>
        <w:t>.47。</w:t>
      </w:r>
      <w:r>
        <w:rPr>
          <w:rFonts w:hint="eastAsia" w:ascii="仿宋" w:hAnsi="仿宋" w:eastAsia="仿宋"/>
          <w:sz w:val="32"/>
          <w:szCs w:val="32"/>
          <w:lang w:eastAsia="zh-CN"/>
        </w:rPr>
        <w:t>薪酬区间主要集中在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2800-3199/月，占比24%，其次是3200-3599元/月，占比20%，具体如图所示</w:t>
      </w:r>
    </w:p>
    <w:p>
      <w:pPr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pict>
          <v:shape id="Object 5" o:spid="_x0000_s1029" o:spt="75" type="#_x0000_t75" style="position:absolute;left:0pt;margin-left:60.75pt;margin-top:-644.6pt;height:241.45pt;width:354.7pt;mso-wrap-distance-bottom:0pt;mso-wrap-distance-top:0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topAndBottom"/>
          </v:shape>
          <o:OLEObject Type="Embed" ProgID="Excel.Chart.8" ShapeID="Object 5" DrawAspect="Content" ObjectID="_1468075727" r:id="rId8">
            <o:LockedField>false</o:LockedField>
          </o:OLEObject>
        </w:pict>
      </w:r>
    </w:p>
    <w:p>
      <w:pPr>
        <w:spacing w:line="560" w:lineRule="exact"/>
        <w:ind w:firstLine="7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本校2021届毕业生目前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岗位与所学专业的</w:t>
      </w:r>
      <w:r>
        <w:rPr>
          <w:rFonts w:hint="eastAsia" w:ascii="仿宋" w:hAnsi="仿宋" w:eastAsia="仿宋"/>
          <w:sz w:val="32"/>
          <w:szCs w:val="32"/>
          <w:lang w:eastAsia="zh-CN"/>
        </w:rPr>
        <w:t>相关度较高的学生占就业总人数为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469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占比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65.78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，应聘</w:t>
      </w:r>
      <w:r>
        <w:rPr>
          <w:rFonts w:hint="eastAsia" w:ascii="仿宋" w:hAnsi="仿宋" w:eastAsia="仿宋"/>
          <w:sz w:val="32"/>
          <w:szCs w:val="32"/>
        </w:rPr>
        <w:t>岗位与所学专业的</w:t>
      </w:r>
      <w:r>
        <w:rPr>
          <w:rFonts w:hint="eastAsia" w:ascii="仿宋" w:hAnsi="仿宋" w:eastAsia="仿宋"/>
          <w:sz w:val="32"/>
          <w:szCs w:val="32"/>
          <w:lang w:eastAsia="zh-CN"/>
        </w:rPr>
        <w:t>比较相关的为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200人，占比为28.05%，从事与本专业无关的有44人，占比为6.17%</w:t>
      </w:r>
      <w:r>
        <w:rPr>
          <w:rFonts w:hint="eastAsia" w:ascii="仿宋" w:hAnsi="仿宋" w:eastAsia="仿宋"/>
          <w:sz w:val="32"/>
          <w:szCs w:val="32"/>
        </w:rPr>
        <w:t>。由此可见，学生所学专业知识及技能，与实际工作的契合度较高，能够学以致用。</w:t>
      </w:r>
    </w:p>
    <w:p>
      <w:pPr>
        <w:jc w:val="right"/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default" w:ascii="Calibri" w:hAnsi="Calibri" w:eastAsia="宋体" w:cs="Times New Roman"/>
          <w:sz w:val="32"/>
          <w:szCs w:val="32"/>
          <w:lang w:val="en-US" w:eastAsia="zh-CN"/>
        </w:rPr>
        <w:pict>
          <v:shape id="Object 6" o:spid="_x0000_s1031" o:spt="75" type="#_x0000_t75" style="position:absolute;left:0pt;margin-left:41.25pt;margin-top:4.45pt;height:222.75pt;width:366.75pt;mso-wrap-distance-bottom:0pt;mso-wrap-distance-top:0pt;z-index:251662336;mso-width-relative:page;mso-height-relative:page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topAndBottom"/>
          </v:shape>
          <o:OLEObject Type="Embed" ProgID="Excel.Chart.8" ShapeID="Object 6" DrawAspect="Content" ObjectID="_1468075728" r:id="rId10">
            <o:LockedField>false</o:LockedField>
          </o:OLEObject>
        </w:pict>
      </w: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32"/>
          <w:szCs w:val="32"/>
        </w:rPr>
        <w:t>许昌陶瓷职业学院</w:t>
      </w:r>
    </w:p>
    <w:p>
      <w:pPr>
        <w:jc w:val="right"/>
        <w:rPr>
          <w:rFonts w:hint="eastAsia" w:ascii="Calibri" w:hAnsi="Calibri" w:eastAsia="宋体" w:cs="Times New Roman"/>
          <w:sz w:val="32"/>
          <w:szCs w:val="32"/>
          <w:lang w:eastAsia="zh-CN"/>
        </w:rPr>
      </w:pPr>
      <w:r>
        <w:rPr>
          <w:rFonts w:hint="eastAsia" w:ascii="Calibri" w:hAnsi="Calibri" w:eastAsia="宋体" w:cs="Times New Roman"/>
          <w:sz w:val="32"/>
          <w:szCs w:val="32"/>
        </w:rPr>
        <w:t xml:space="preserve">                     </w:t>
      </w:r>
      <w:r>
        <w:rPr>
          <w:rFonts w:hint="eastAsia" w:ascii="Calibri" w:hAnsi="Calibri" w:eastAsia="宋体" w:cs="Times New Roman"/>
          <w:sz w:val="32"/>
          <w:szCs w:val="32"/>
          <w:lang w:eastAsia="zh-CN"/>
        </w:rPr>
        <w:t>2021</w:t>
      </w:r>
      <w:r>
        <w:rPr>
          <w:rFonts w:hint="eastAsia" w:ascii="Calibri" w:hAnsi="Calibri" w:eastAsia="宋体" w:cs="Times New Roman"/>
          <w:sz w:val="32"/>
          <w:szCs w:val="32"/>
        </w:rPr>
        <w:t>年</w:t>
      </w: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11</w:t>
      </w:r>
      <w:r>
        <w:rPr>
          <w:rFonts w:hint="eastAsia" w:ascii="Calibri" w:hAnsi="Calibri" w:eastAsia="宋体" w:cs="Times New Roman"/>
          <w:sz w:val="32"/>
          <w:szCs w:val="32"/>
          <w:lang w:eastAsia="zh-CN"/>
        </w:rPr>
        <w:t>月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B5B02"/>
    <w:multiLevelType w:val="singleLevel"/>
    <w:tmpl w:val="B45B5B02"/>
    <w:lvl w:ilvl="0" w:tentative="0">
      <w:start w:val="2"/>
      <w:numFmt w:val="chineseCounting"/>
      <w:suff w:val="nothing"/>
      <w:lvlText w:val="%1、"/>
      <w:lvlJc w:val="left"/>
      <w:pPr>
        <w:ind w:left="-879"/>
      </w:pPr>
      <w:rPr>
        <w:rFonts w:hint="eastAsia"/>
      </w:rPr>
    </w:lvl>
  </w:abstractNum>
  <w:abstractNum w:abstractNumId="1">
    <w:nsid w:val="C5FF8767"/>
    <w:multiLevelType w:val="singleLevel"/>
    <w:tmpl w:val="C5FF8767"/>
    <w:lvl w:ilvl="0" w:tentative="0">
      <w:start w:val="2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2">
    <w:nsid w:val="D76759C9"/>
    <w:multiLevelType w:val="singleLevel"/>
    <w:tmpl w:val="D76759C9"/>
    <w:lvl w:ilvl="0" w:tentative="0">
      <w:start w:val="2"/>
      <w:numFmt w:val="chineseCounting"/>
      <w:suff w:val="nothing"/>
      <w:lvlText w:val="（%1）"/>
      <w:lvlJc w:val="left"/>
      <w:pPr>
        <w:ind w:left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66"/>
    <w:rsid w:val="00026FE2"/>
    <w:rsid w:val="000934DE"/>
    <w:rsid w:val="000A4907"/>
    <w:rsid w:val="001218F1"/>
    <w:rsid w:val="00150386"/>
    <w:rsid w:val="0018004D"/>
    <w:rsid w:val="00292641"/>
    <w:rsid w:val="002D4DD0"/>
    <w:rsid w:val="00375B14"/>
    <w:rsid w:val="00473ED8"/>
    <w:rsid w:val="004D6CAE"/>
    <w:rsid w:val="004E3311"/>
    <w:rsid w:val="0052093A"/>
    <w:rsid w:val="00633329"/>
    <w:rsid w:val="00672B89"/>
    <w:rsid w:val="006F5B59"/>
    <w:rsid w:val="008D604F"/>
    <w:rsid w:val="008E2566"/>
    <w:rsid w:val="00A80F30"/>
    <w:rsid w:val="00A95943"/>
    <w:rsid w:val="00B21035"/>
    <w:rsid w:val="00B21F65"/>
    <w:rsid w:val="00B3537E"/>
    <w:rsid w:val="00BE1525"/>
    <w:rsid w:val="00C76739"/>
    <w:rsid w:val="00CF609A"/>
    <w:rsid w:val="00E321B1"/>
    <w:rsid w:val="00E768FE"/>
    <w:rsid w:val="00ED1E26"/>
    <w:rsid w:val="48F47B7D"/>
    <w:rsid w:val="665D0E19"/>
    <w:rsid w:val="6E213C5C"/>
    <w:rsid w:val="73380F51"/>
    <w:rsid w:val="7809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图表标题"/>
    <w:basedOn w:val="1"/>
    <w:next w:val="1"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 w:eastAsia="宋体"/>
      <w:b/>
      <w:sz w:val="21"/>
      <w:szCs w:val="21"/>
    </w:rPr>
  </w:style>
  <w:style w:type="paragraph" w:customStyle="1" w:styleId="15">
    <w:name w:val="表格"/>
    <w:next w:val="5"/>
    <w:qFormat/>
    <w:uiPriority w:val="0"/>
    <w:pPr>
      <w:spacing w:line="560" w:lineRule="exact"/>
      <w:jc w:val="center"/>
    </w:pPr>
    <w:rPr>
      <w:rFonts w:ascii="Times New Roman" w:hAnsi="Times New Roman" w:eastAsia="微软雅黑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217</Words>
  <Characters>1240</Characters>
  <Lines>10</Lines>
  <Paragraphs>2</Paragraphs>
  <TotalTime>5</TotalTime>
  <ScaleCrop>false</ScaleCrop>
  <LinksUpToDate>false</LinksUpToDate>
  <CharactersWithSpaces>1455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2020-10-21T07:38:00Z</dcterms:created>
  <dc:creator>xb21cn</dc:creator>
  <cp:lastModifiedBy>April 蝶儿</cp:lastModifiedBy>
  <dcterms:modified xsi:type="dcterms:W3CDTF">2021-10-29T07:19:09Z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143B6D764B694B4AADF226F55A71FE51</vt:lpwstr>
  </property>
</Properties>
</file>